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3F8" w:rsidRDefault="004663F8" w:rsidP="00C56729">
      <w:pPr>
        <w:jc w:val="center"/>
        <w:rPr>
          <w:rFonts w:cs="Arial"/>
          <w:b/>
        </w:rPr>
      </w:pPr>
      <w:bookmarkStart w:id="0" w:name="_GoBack"/>
      <w:bookmarkEnd w:id="0"/>
      <w:r>
        <w:rPr>
          <w:rFonts w:cs="Arial"/>
          <w:b/>
        </w:rPr>
        <w:t xml:space="preserve">JUSTICES' </w:t>
      </w:r>
      <w:r w:rsidRPr="00E142C4">
        <w:rPr>
          <w:rFonts w:cs="Arial"/>
          <w:b/>
        </w:rPr>
        <w:t>P</w:t>
      </w:r>
      <w:r>
        <w:rPr>
          <w:rFonts w:cs="Arial"/>
          <w:b/>
        </w:rPr>
        <w:t>O</w:t>
      </w:r>
      <w:r w:rsidRPr="00E142C4">
        <w:rPr>
          <w:rFonts w:cs="Arial"/>
          <w:b/>
        </w:rPr>
        <w:t>LICY ON WORKPLACE CONDUCT</w:t>
      </w:r>
    </w:p>
    <w:p w:rsidR="00C56729" w:rsidRPr="00E142C4" w:rsidRDefault="00C56729" w:rsidP="00C56729">
      <w:pPr>
        <w:jc w:val="center"/>
        <w:rPr>
          <w:rFonts w:cs="Arial"/>
          <w:b/>
        </w:rPr>
      </w:pPr>
    </w:p>
    <w:p w:rsidR="004663F8" w:rsidRDefault="004663F8" w:rsidP="004663F8">
      <w:pPr>
        <w:jc w:val="both"/>
        <w:rPr>
          <w:rFonts w:cs="Arial"/>
          <w:b/>
        </w:rPr>
      </w:pPr>
      <w:r w:rsidRPr="00E142C4">
        <w:rPr>
          <w:rFonts w:cs="Arial"/>
          <w:b/>
        </w:rPr>
        <w:t xml:space="preserve">1. </w:t>
      </w:r>
      <w:r>
        <w:rPr>
          <w:rFonts w:cs="Arial"/>
          <w:b/>
        </w:rPr>
        <w:tab/>
      </w:r>
      <w:r w:rsidRPr="00E142C4">
        <w:rPr>
          <w:rFonts w:cs="Arial"/>
          <w:b/>
        </w:rPr>
        <w:t>Purpose</w:t>
      </w:r>
    </w:p>
    <w:p w:rsidR="00C56729" w:rsidRPr="00C56729" w:rsidRDefault="00C56729" w:rsidP="004663F8">
      <w:pPr>
        <w:jc w:val="both"/>
        <w:rPr>
          <w:rFonts w:cs="Arial"/>
          <w:b/>
          <w:sz w:val="16"/>
          <w:szCs w:val="16"/>
        </w:rPr>
      </w:pPr>
    </w:p>
    <w:p w:rsidR="004663F8" w:rsidRDefault="004663F8" w:rsidP="004663F8">
      <w:pPr>
        <w:ind w:left="720" w:hanging="720"/>
        <w:jc w:val="both"/>
        <w:rPr>
          <w:rFonts w:cs="Arial"/>
        </w:rPr>
      </w:pPr>
      <w:r w:rsidRPr="00E142C4">
        <w:rPr>
          <w:rFonts w:cs="Arial"/>
        </w:rPr>
        <w:t>1.1</w:t>
      </w:r>
      <w:r>
        <w:rPr>
          <w:rFonts w:cs="Arial"/>
        </w:rPr>
        <w:tab/>
      </w:r>
      <w:r w:rsidRPr="00E142C4">
        <w:rPr>
          <w:rFonts w:cs="Arial"/>
        </w:rPr>
        <w:t xml:space="preserve">The </w:t>
      </w:r>
      <w:r>
        <w:rPr>
          <w:rFonts w:cs="Arial"/>
        </w:rPr>
        <w:t xml:space="preserve">Chief Justice and </w:t>
      </w:r>
      <w:r w:rsidRPr="00E142C4">
        <w:rPr>
          <w:rFonts w:cs="Arial"/>
        </w:rPr>
        <w:t>Ju</w:t>
      </w:r>
      <w:r>
        <w:rPr>
          <w:rFonts w:cs="Arial"/>
        </w:rPr>
        <w:t>stices</w:t>
      </w:r>
      <w:r w:rsidRPr="00E142C4">
        <w:rPr>
          <w:rFonts w:cs="Arial"/>
        </w:rPr>
        <w:t xml:space="preserve"> of the High Court of Australia are committed to ensuring that </w:t>
      </w:r>
      <w:r>
        <w:rPr>
          <w:rFonts w:cs="Arial"/>
        </w:rPr>
        <w:t>the Court</w:t>
      </w:r>
      <w:r w:rsidRPr="00E142C4">
        <w:rPr>
          <w:rFonts w:cs="Arial"/>
        </w:rPr>
        <w:t xml:space="preserve"> is a safe</w:t>
      </w:r>
      <w:r>
        <w:rPr>
          <w:rFonts w:cs="Arial"/>
        </w:rPr>
        <w:t xml:space="preserve"> </w:t>
      </w:r>
      <w:r w:rsidRPr="00E142C4">
        <w:rPr>
          <w:rFonts w:cs="Arial"/>
        </w:rPr>
        <w:t>and respectful workplace</w:t>
      </w:r>
      <w:r>
        <w:rPr>
          <w:rFonts w:cs="Arial"/>
        </w:rPr>
        <w:t xml:space="preserve"> for all persons who are officers, employees, contractors and service providers of the Court, including but not limited to chambers staff comprising associates, executive assistants, judgment production officers and the Library Research Officer.</w:t>
      </w:r>
      <w:r w:rsidRPr="00E142C4">
        <w:rPr>
          <w:rFonts w:cs="Arial"/>
        </w:rPr>
        <w:t xml:space="preserve"> </w:t>
      </w:r>
      <w:r>
        <w:rPr>
          <w:rFonts w:cs="Arial"/>
        </w:rPr>
        <w:t>To that end, the Justices individually and collectively are committed to adherence to this Policy</w:t>
      </w:r>
      <w:r w:rsidRPr="00E142C4">
        <w:rPr>
          <w:rFonts w:cs="Arial"/>
        </w:rPr>
        <w:t>.</w:t>
      </w:r>
    </w:p>
    <w:p w:rsidR="00C56729" w:rsidRPr="00C56729" w:rsidRDefault="00C56729" w:rsidP="004663F8">
      <w:pPr>
        <w:ind w:left="720" w:hanging="720"/>
        <w:jc w:val="both"/>
        <w:rPr>
          <w:rFonts w:cs="Arial"/>
          <w:sz w:val="16"/>
          <w:szCs w:val="16"/>
        </w:rPr>
      </w:pPr>
    </w:p>
    <w:p w:rsidR="004663F8" w:rsidRPr="00E142C4" w:rsidRDefault="004663F8" w:rsidP="004663F8">
      <w:pPr>
        <w:jc w:val="both"/>
        <w:rPr>
          <w:rFonts w:cs="Arial"/>
        </w:rPr>
      </w:pPr>
      <w:r w:rsidRPr="00E142C4">
        <w:rPr>
          <w:rFonts w:cs="Arial"/>
        </w:rPr>
        <w:t>1.2</w:t>
      </w:r>
      <w:r>
        <w:rPr>
          <w:rFonts w:cs="Arial"/>
        </w:rPr>
        <w:tab/>
      </w:r>
      <w:r w:rsidRPr="00E142C4">
        <w:rPr>
          <w:rFonts w:cs="Arial"/>
        </w:rPr>
        <w:t>The purpose of this Policy is:</w:t>
      </w:r>
    </w:p>
    <w:p w:rsidR="004663F8" w:rsidRPr="00E142C4" w:rsidRDefault="004663F8" w:rsidP="004663F8">
      <w:pPr>
        <w:jc w:val="both"/>
        <w:rPr>
          <w:rFonts w:cs="Arial"/>
        </w:rPr>
      </w:pPr>
      <w:r>
        <w:rPr>
          <w:rFonts w:cs="Arial"/>
        </w:rPr>
        <w:tab/>
      </w:r>
      <w:r w:rsidRPr="00E142C4">
        <w:rPr>
          <w:rFonts w:cs="Arial"/>
        </w:rPr>
        <w:t>(a)</w:t>
      </w:r>
      <w:r>
        <w:rPr>
          <w:rFonts w:cs="Arial"/>
        </w:rPr>
        <w:tab/>
      </w:r>
      <w:r w:rsidRPr="00E142C4">
        <w:rPr>
          <w:rFonts w:cs="Arial"/>
        </w:rPr>
        <w:t xml:space="preserve">to define clear standards of </w:t>
      </w:r>
      <w:r>
        <w:rPr>
          <w:rFonts w:cs="Arial"/>
        </w:rPr>
        <w:t xml:space="preserve">appropriate conduct by the Chief Justice and </w:t>
      </w:r>
      <w:r>
        <w:rPr>
          <w:rFonts w:cs="Arial"/>
        </w:rPr>
        <w:tab/>
      </w:r>
      <w:r w:rsidR="00C56729">
        <w:rPr>
          <w:rFonts w:cs="Arial"/>
        </w:rPr>
        <w:tab/>
      </w:r>
      <w:r>
        <w:rPr>
          <w:rFonts w:cs="Arial"/>
        </w:rPr>
        <w:t xml:space="preserve">Justices towards all persons who are officers, employees, contractors or </w:t>
      </w:r>
      <w:r>
        <w:rPr>
          <w:rFonts w:cs="Arial"/>
        </w:rPr>
        <w:tab/>
      </w:r>
      <w:r>
        <w:rPr>
          <w:rFonts w:cs="Arial"/>
        </w:rPr>
        <w:tab/>
        <w:t>service providers of the Court;</w:t>
      </w:r>
    </w:p>
    <w:p w:rsidR="004663F8" w:rsidRPr="00E142C4" w:rsidRDefault="004663F8" w:rsidP="004663F8">
      <w:pPr>
        <w:ind w:left="1440" w:hanging="720"/>
        <w:jc w:val="both"/>
        <w:rPr>
          <w:rFonts w:cs="Arial"/>
        </w:rPr>
      </w:pPr>
      <w:r w:rsidRPr="00E142C4">
        <w:rPr>
          <w:rFonts w:cs="Arial"/>
        </w:rPr>
        <w:t>(b)</w:t>
      </w:r>
      <w:r>
        <w:rPr>
          <w:rFonts w:cs="Arial"/>
        </w:rPr>
        <w:tab/>
      </w:r>
      <w:r w:rsidRPr="00E142C4">
        <w:rPr>
          <w:rFonts w:cs="Arial"/>
        </w:rPr>
        <w:t>to provide a safe and se</w:t>
      </w:r>
      <w:r>
        <w:rPr>
          <w:rFonts w:eastAsia="Arial" w:cs="Arial"/>
        </w:rPr>
        <w:t>c</w:t>
      </w:r>
      <w:r w:rsidRPr="00E142C4">
        <w:rPr>
          <w:rFonts w:cs="Arial"/>
        </w:rPr>
        <w:t xml:space="preserve">ure method by which any </w:t>
      </w:r>
      <w:r>
        <w:rPr>
          <w:rFonts w:cs="Arial"/>
        </w:rPr>
        <w:t xml:space="preserve">officer, employee, contractor or service provider can raise a concern or </w:t>
      </w:r>
      <w:r w:rsidRPr="00E142C4">
        <w:rPr>
          <w:rFonts w:cs="Arial"/>
        </w:rPr>
        <w:t>ma</w:t>
      </w:r>
      <w:r>
        <w:rPr>
          <w:rFonts w:cs="Arial"/>
        </w:rPr>
        <w:t>k</w:t>
      </w:r>
      <w:r w:rsidRPr="00E142C4">
        <w:rPr>
          <w:rFonts w:cs="Arial"/>
        </w:rPr>
        <w:t>e a complaint</w:t>
      </w:r>
      <w:r>
        <w:rPr>
          <w:rFonts w:cs="Arial"/>
        </w:rPr>
        <w:t xml:space="preserve"> about inappropriate conduct by a Justice</w:t>
      </w:r>
      <w:r w:rsidRPr="00E142C4">
        <w:rPr>
          <w:rFonts w:cs="Arial"/>
        </w:rPr>
        <w:t>; and</w:t>
      </w:r>
    </w:p>
    <w:p w:rsidR="004663F8" w:rsidRDefault="004663F8" w:rsidP="00C56729">
      <w:pPr>
        <w:ind w:left="1440" w:hanging="720"/>
        <w:jc w:val="both"/>
        <w:rPr>
          <w:rFonts w:cs="Arial"/>
        </w:rPr>
      </w:pPr>
      <w:r w:rsidRPr="00E142C4">
        <w:rPr>
          <w:rFonts w:cs="Arial"/>
        </w:rPr>
        <w:t>(c)</w:t>
      </w:r>
      <w:r>
        <w:rPr>
          <w:rFonts w:cs="Arial"/>
        </w:rPr>
        <w:tab/>
      </w:r>
      <w:r w:rsidRPr="00E142C4">
        <w:rPr>
          <w:rFonts w:cs="Arial"/>
        </w:rPr>
        <w:t>to set out the broad framework within which such concerns</w:t>
      </w:r>
      <w:r>
        <w:rPr>
          <w:rFonts w:cs="Arial"/>
        </w:rPr>
        <w:t xml:space="preserve"> or complaints</w:t>
      </w:r>
      <w:r w:rsidRPr="00E142C4">
        <w:rPr>
          <w:rFonts w:cs="Arial"/>
        </w:rPr>
        <w:t xml:space="preserve"> will be addressed.</w:t>
      </w:r>
    </w:p>
    <w:p w:rsidR="00C56729" w:rsidRPr="00C56729" w:rsidRDefault="00C56729" w:rsidP="00C56729">
      <w:pPr>
        <w:ind w:left="1440" w:hanging="720"/>
        <w:jc w:val="both"/>
        <w:rPr>
          <w:rFonts w:cs="Arial"/>
          <w:sz w:val="16"/>
          <w:szCs w:val="16"/>
        </w:rPr>
      </w:pPr>
    </w:p>
    <w:p w:rsidR="004663F8" w:rsidRPr="00E142C4" w:rsidRDefault="004663F8" w:rsidP="004663F8">
      <w:pPr>
        <w:ind w:left="720" w:hanging="720"/>
        <w:jc w:val="both"/>
        <w:rPr>
          <w:rFonts w:cs="Arial"/>
        </w:rPr>
      </w:pPr>
      <w:r>
        <w:rPr>
          <w:rFonts w:cs="Arial"/>
        </w:rPr>
        <w:t>1.3</w:t>
      </w:r>
      <w:r>
        <w:rPr>
          <w:rFonts w:cs="Arial"/>
        </w:rPr>
        <w:tab/>
        <w:t xml:space="preserve">This Policy is supplementary to all applicable laws and other applicable policies. It is complementary to obligations under the </w:t>
      </w:r>
      <w:r w:rsidRPr="00344597">
        <w:rPr>
          <w:rFonts w:cs="Arial"/>
          <w:i/>
        </w:rPr>
        <w:t>Work Health and</w:t>
      </w:r>
      <w:r>
        <w:rPr>
          <w:rFonts w:cs="Arial"/>
          <w:i/>
        </w:rPr>
        <w:t xml:space="preserve"> </w:t>
      </w:r>
      <w:r w:rsidRPr="00344597">
        <w:rPr>
          <w:rFonts w:cs="Arial"/>
          <w:i/>
        </w:rPr>
        <w:t>Safety Act 2011</w:t>
      </w:r>
      <w:r>
        <w:rPr>
          <w:rFonts w:cs="Arial"/>
          <w:i/>
        </w:rPr>
        <w:t> </w:t>
      </w:r>
      <w:r>
        <w:rPr>
          <w:rFonts w:cs="Arial"/>
        </w:rPr>
        <w:t xml:space="preserve">(Cth) to take reasonable steps to protect officers, employees, contractors and service providers against harm to their health, safety and welfare through the elimination or minimisation of risks arising from work. </w:t>
      </w:r>
    </w:p>
    <w:p w:rsidR="004663F8" w:rsidRDefault="004663F8" w:rsidP="004663F8">
      <w:pPr>
        <w:jc w:val="both"/>
        <w:rPr>
          <w:rFonts w:cs="Arial"/>
          <w:b/>
        </w:rPr>
      </w:pPr>
      <w:r w:rsidRPr="00E142C4">
        <w:rPr>
          <w:rFonts w:cs="Arial"/>
          <w:b/>
        </w:rPr>
        <w:t>2.</w:t>
      </w:r>
      <w:r w:rsidRPr="00E142C4">
        <w:rPr>
          <w:rFonts w:cs="Arial"/>
          <w:b/>
        </w:rPr>
        <w:tab/>
        <w:t>Application</w:t>
      </w:r>
    </w:p>
    <w:p w:rsidR="00C56729" w:rsidRPr="00C56729" w:rsidRDefault="00C56729" w:rsidP="004663F8">
      <w:pPr>
        <w:jc w:val="both"/>
        <w:rPr>
          <w:rFonts w:cs="Arial"/>
          <w:b/>
          <w:sz w:val="16"/>
          <w:szCs w:val="16"/>
        </w:rPr>
      </w:pPr>
    </w:p>
    <w:p w:rsidR="004663F8" w:rsidRDefault="004663F8" w:rsidP="00C56729">
      <w:pPr>
        <w:ind w:left="720" w:hanging="720"/>
        <w:jc w:val="both"/>
        <w:rPr>
          <w:rFonts w:cs="Arial"/>
        </w:rPr>
      </w:pPr>
      <w:r w:rsidRPr="00E142C4">
        <w:rPr>
          <w:rFonts w:cs="Arial"/>
        </w:rPr>
        <w:t>2.1</w:t>
      </w:r>
      <w:r>
        <w:rPr>
          <w:rFonts w:cs="Arial"/>
        </w:rPr>
        <w:tab/>
      </w:r>
      <w:r w:rsidRPr="00E142C4">
        <w:rPr>
          <w:rFonts w:cs="Arial"/>
        </w:rPr>
        <w:t>This Policy has application to</w:t>
      </w:r>
      <w:r>
        <w:rPr>
          <w:rFonts w:cs="Arial"/>
        </w:rPr>
        <w:t xml:space="preserve"> all conduct by the Chief Justice and Justices in relation to all persons who are officers, employees, contractors and service providers of the Court in </w:t>
      </w:r>
      <w:r w:rsidRPr="00E142C4">
        <w:rPr>
          <w:rFonts w:cs="Arial"/>
        </w:rPr>
        <w:t xml:space="preserve">all work circumstances, including where </w:t>
      </w:r>
      <w:r>
        <w:rPr>
          <w:rFonts w:cs="Arial"/>
        </w:rPr>
        <w:t>the Chief Justice and Justices,</w:t>
      </w:r>
      <w:r w:rsidRPr="00E142C4">
        <w:rPr>
          <w:rFonts w:cs="Arial"/>
        </w:rPr>
        <w:t xml:space="preserve"> </w:t>
      </w:r>
      <w:r>
        <w:rPr>
          <w:rFonts w:cs="Arial"/>
        </w:rPr>
        <w:t>officers, employees, contractors or service providers</w:t>
      </w:r>
      <w:r w:rsidRPr="00E142C4">
        <w:rPr>
          <w:rFonts w:cs="Arial"/>
        </w:rPr>
        <w:t xml:space="preserve"> are required to travel or work away from chambers</w:t>
      </w:r>
      <w:r>
        <w:rPr>
          <w:rFonts w:cs="Arial"/>
        </w:rPr>
        <w:t xml:space="preserve">, </w:t>
      </w:r>
      <w:r w:rsidRPr="00E142C4">
        <w:rPr>
          <w:rFonts w:cs="Arial"/>
        </w:rPr>
        <w:t>and</w:t>
      </w:r>
      <w:r>
        <w:rPr>
          <w:rFonts w:cs="Arial"/>
        </w:rPr>
        <w:t xml:space="preserve"> in </w:t>
      </w:r>
      <w:r w:rsidRPr="00E142C4">
        <w:rPr>
          <w:rFonts w:cs="Arial"/>
        </w:rPr>
        <w:t xml:space="preserve">all social </w:t>
      </w:r>
      <w:r>
        <w:rPr>
          <w:rFonts w:cs="Arial"/>
        </w:rPr>
        <w:t>circumstances</w:t>
      </w:r>
      <w:r w:rsidRPr="00E142C4">
        <w:rPr>
          <w:rFonts w:cs="Arial"/>
        </w:rPr>
        <w:t>.</w:t>
      </w:r>
    </w:p>
    <w:p w:rsidR="004663F8" w:rsidRDefault="004663F8" w:rsidP="004663F8">
      <w:pPr>
        <w:keepNext/>
        <w:jc w:val="both"/>
        <w:rPr>
          <w:rFonts w:cs="Arial"/>
          <w:b/>
        </w:rPr>
      </w:pPr>
      <w:r w:rsidRPr="00FD28AD">
        <w:rPr>
          <w:rFonts w:cs="Arial"/>
          <w:b/>
        </w:rPr>
        <w:lastRenderedPageBreak/>
        <w:t>3.</w:t>
      </w:r>
      <w:r>
        <w:rPr>
          <w:rFonts w:cs="Arial"/>
          <w:b/>
        </w:rPr>
        <w:tab/>
        <w:t>C</w:t>
      </w:r>
      <w:r w:rsidRPr="00FD28AD">
        <w:rPr>
          <w:rFonts w:cs="Arial"/>
          <w:b/>
        </w:rPr>
        <w:t>onduct</w:t>
      </w:r>
      <w:r>
        <w:rPr>
          <w:rFonts w:cs="Arial"/>
          <w:b/>
        </w:rPr>
        <w:t xml:space="preserve"> of Justices</w:t>
      </w:r>
    </w:p>
    <w:p w:rsidR="00C56729" w:rsidRPr="00FD28AD" w:rsidRDefault="00C56729" w:rsidP="004663F8">
      <w:pPr>
        <w:keepNext/>
        <w:jc w:val="both"/>
        <w:rPr>
          <w:rFonts w:cs="Arial"/>
          <w:b/>
        </w:rPr>
      </w:pPr>
    </w:p>
    <w:p w:rsidR="004663F8" w:rsidRDefault="004663F8" w:rsidP="004663F8">
      <w:pPr>
        <w:jc w:val="both"/>
        <w:rPr>
          <w:rFonts w:cs="Arial"/>
        </w:rPr>
      </w:pPr>
      <w:r w:rsidRPr="00E142C4">
        <w:rPr>
          <w:rFonts w:cs="Arial"/>
        </w:rPr>
        <w:t>3.1</w:t>
      </w:r>
      <w:r>
        <w:rPr>
          <w:rFonts w:cs="Arial"/>
        </w:rPr>
        <w:tab/>
        <w:t xml:space="preserve">No Justice will engage in inappropriate conduct, including conduct of any of </w:t>
      </w:r>
      <w:r w:rsidRPr="00E142C4">
        <w:rPr>
          <w:rFonts w:cs="Arial"/>
        </w:rPr>
        <w:t xml:space="preserve">the </w:t>
      </w:r>
      <w:r>
        <w:rPr>
          <w:rFonts w:cs="Arial"/>
        </w:rPr>
        <w:tab/>
      </w:r>
      <w:r w:rsidRPr="00E142C4">
        <w:rPr>
          <w:rFonts w:cs="Arial"/>
        </w:rPr>
        <w:t>following types</w:t>
      </w:r>
      <w:r>
        <w:rPr>
          <w:rFonts w:cs="Arial"/>
        </w:rPr>
        <w:t>:</w:t>
      </w:r>
    </w:p>
    <w:p w:rsidR="00C56729" w:rsidRPr="00C56729" w:rsidRDefault="00C56729" w:rsidP="004663F8">
      <w:pPr>
        <w:jc w:val="both"/>
        <w:rPr>
          <w:rFonts w:cs="Arial"/>
          <w:sz w:val="16"/>
          <w:szCs w:val="16"/>
        </w:rPr>
      </w:pPr>
    </w:p>
    <w:p w:rsidR="004663F8" w:rsidRDefault="004663F8" w:rsidP="004663F8">
      <w:pPr>
        <w:ind w:left="720" w:hanging="720"/>
        <w:jc w:val="both"/>
        <w:rPr>
          <w:rFonts w:cs="Arial"/>
        </w:rPr>
      </w:pPr>
      <w:r>
        <w:rPr>
          <w:rFonts w:cs="Arial"/>
        </w:rPr>
        <w:tab/>
        <w:t>(a)</w:t>
      </w:r>
      <w:r>
        <w:rPr>
          <w:rFonts w:cs="Arial"/>
        </w:rPr>
        <w:tab/>
      </w:r>
      <w:r w:rsidRPr="00FD28AD">
        <w:rPr>
          <w:rFonts w:cs="Arial"/>
          <w:i/>
        </w:rPr>
        <w:t>Bullying</w:t>
      </w:r>
      <w:r w:rsidRPr="00E142C4">
        <w:rPr>
          <w:rFonts w:cs="Arial"/>
        </w:rPr>
        <w:t xml:space="preserve">, in the form of belittling, insulting, </w:t>
      </w:r>
      <w:r>
        <w:rPr>
          <w:rFonts w:cs="Arial"/>
        </w:rPr>
        <w:t xml:space="preserve">victimising, </w:t>
      </w:r>
      <w:r w:rsidRPr="00E142C4">
        <w:rPr>
          <w:rFonts w:cs="Arial"/>
        </w:rPr>
        <w:t xml:space="preserve">aggressive or intimidating conduct. </w:t>
      </w:r>
      <w:r>
        <w:rPr>
          <w:rFonts w:cs="Arial"/>
        </w:rPr>
        <w:t xml:space="preserve"> </w:t>
      </w:r>
      <w:r w:rsidRPr="00E142C4">
        <w:rPr>
          <w:rFonts w:cs="Arial"/>
        </w:rPr>
        <w:t xml:space="preserve">Bullying may include abusive or offensive language or comments, unjustified criticism or complaints, </w:t>
      </w:r>
      <w:r>
        <w:rPr>
          <w:rFonts w:cs="Arial"/>
        </w:rPr>
        <w:t xml:space="preserve">setting unreasonable or constantly changing timelines, </w:t>
      </w:r>
      <w:r w:rsidRPr="00E142C4">
        <w:rPr>
          <w:rFonts w:cs="Arial"/>
        </w:rPr>
        <w:t xml:space="preserve">or deliberate exclusion from work-related activities. Bullying does not include reasonable allocation of work, justified and reasonable </w:t>
      </w:r>
      <w:r>
        <w:rPr>
          <w:rFonts w:cs="Arial"/>
        </w:rPr>
        <w:t>discussion on work performance</w:t>
      </w:r>
      <w:r w:rsidRPr="00E142C4">
        <w:rPr>
          <w:rFonts w:cs="Arial"/>
        </w:rPr>
        <w:t>, differences of opinion and disagreement, and reasonable management action.</w:t>
      </w:r>
    </w:p>
    <w:p w:rsidR="00C56729" w:rsidRPr="00C56729" w:rsidRDefault="00C56729" w:rsidP="004663F8">
      <w:pPr>
        <w:ind w:left="720" w:hanging="720"/>
        <w:jc w:val="both"/>
        <w:rPr>
          <w:rFonts w:cs="Arial"/>
          <w:sz w:val="16"/>
          <w:szCs w:val="16"/>
        </w:rPr>
      </w:pPr>
    </w:p>
    <w:p w:rsidR="004663F8" w:rsidRDefault="004663F8" w:rsidP="004663F8">
      <w:pPr>
        <w:ind w:left="720" w:hanging="720"/>
        <w:jc w:val="both"/>
        <w:rPr>
          <w:rFonts w:cs="Arial"/>
        </w:rPr>
      </w:pPr>
      <w:r>
        <w:rPr>
          <w:rFonts w:cs="Arial"/>
        </w:rPr>
        <w:tab/>
        <w:t>(b)</w:t>
      </w:r>
      <w:r>
        <w:rPr>
          <w:rFonts w:cs="Arial"/>
        </w:rPr>
        <w:tab/>
      </w:r>
      <w:r w:rsidRPr="00FD28AD">
        <w:rPr>
          <w:rFonts w:cs="Arial"/>
          <w:i/>
        </w:rPr>
        <w:t>Harassment</w:t>
      </w:r>
      <w:r w:rsidRPr="00E142C4">
        <w:rPr>
          <w:rFonts w:cs="Arial"/>
        </w:rPr>
        <w:t>, including sexual harassment</w:t>
      </w:r>
      <w:r>
        <w:rPr>
          <w:rFonts w:cs="Arial"/>
        </w:rPr>
        <w:t xml:space="preserve"> within the meaning of the </w:t>
      </w:r>
      <w:r w:rsidRPr="00E00EC7">
        <w:rPr>
          <w:rFonts w:cs="Arial"/>
          <w:i/>
        </w:rPr>
        <w:t>Sex Discrimination Act 1984</w:t>
      </w:r>
      <w:r>
        <w:rPr>
          <w:rFonts w:cs="Arial"/>
        </w:rPr>
        <w:t xml:space="preserve"> (Cth)</w:t>
      </w:r>
      <w:r w:rsidRPr="00E142C4">
        <w:rPr>
          <w:rFonts w:cs="Arial"/>
        </w:rPr>
        <w:t xml:space="preserve">. </w:t>
      </w:r>
      <w:r>
        <w:rPr>
          <w:rFonts w:cs="Arial"/>
        </w:rPr>
        <w:t xml:space="preserve"> </w:t>
      </w:r>
      <w:r w:rsidRPr="00E142C4">
        <w:rPr>
          <w:rFonts w:cs="Arial"/>
        </w:rPr>
        <w:t xml:space="preserve">Harassment is </w:t>
      </w:r>
      <w:r>
        <w:rPr>
          <w:rFonts w:cs="Arial"/>
        </w:rPr>
        <w:t xml:space="preserve">any </w:t>
      </w:r>
      <w:r w:rsidRPr="00E142C4">
        <w:rPr>
          <w:rFonts w:cs="Arial"/>
        </w:rPr>
        <w:t>unwelcome</w:t>
      </w:r>
      <w:r>
        <w:rPr>
          <w:rFonts w:cs="Arial"/>
        </w:rPr>
        <w:t xml:space="preserve"> conduct</w:t>
      </w:r>
      <w:r w:rsidRPr="00E142C4">
        <w:rPr>
          <w:rFonts w:cs="Arial"/>
        </w:rPr>
        <w:t xml:space="preserve"> that could reasonably be expected to be offensive, humiliating or intimidating to the person to whom it is directed.</w:t>
      </w:r>
      <w:r>
        <w:rPr>
          <w:rFonts w:cs="Arial"/>
        </w:rPr>
        <w:t xml:space="preserve"> </w:t>
      </w:r>
      <w:r w:rsidRPr="00E142C4">
        <w:rPr>
          <w:rFonts w:cs="Arial"/>
        </w:rPr>
        <w:t xml:space="preserve">Sexual harassment </w:t>
      </w:r>
      <w:r>
        <w:rPr>
          <w:rFonts w:cs="Arial"/>
        </w:rPr>
        <w:t xml:space="preserve">is any unwelcome </w:t>
      </w:r>
      <w:r w:rsidRPr="00E142C4">
        <w:rPr>
          <w:rFonts w:cs="Arial"/>
        </w:rPr>
        <w:t>conduct of a sexual nature that could reasonably be expected to be unwelcome, offensive, humiliating or intimidating to the person to whom it is directed.</w:t>
      </w:r>
      <w:r>
        <w:rPr>
          <w:rFonts w:cs="Arial"/>
        </w:rPr>
        <w:t xml:space="preserve"> Under no circumstances is it appropriate for a Justice to engage in conduct of a sexual nature towards any officer, employee or contractor of the Court.</w:t>
      </w:r>
    </w:p>
    <w:p w:rsidR="00C56729" w:rsidRPr="00C56729" w:rsidRDefault="00C56729" w:rsidP="004663F8">
      <w:pPr>
        <w:ind w:left="720" w:hanging="720"/>
        <w:jc w:val="both"/>
        <w:rPr>
          <w:rFonts w:cs="Arial"/>
          <w:sz w:val="16"/>
          <w:szCs w:val="16"/>
        </w:rPr>
      </w:pPr>
    </w:p>
    <w:p w:rsidR="004663F8" w:rsidRPr="00E142C4" w:rsidRDefault="004663F8" w:rsidP="004663F8">
      <w:pPr>
        <w:ind w:left="720" w:hanging="720"/>
        <w:jc w:val="both"/>
        <w:rPr>
          <w:rFonts w:cs="Arial"/>
        </w:rPr>
      </w:pPr>
      <w:r>
        <w:rPr>
          <w:rFonts w:cs="Arial"/>
        </w:rPr>
        <w:tab/>
        <w:t>(c)</w:t>
      </w:r>
      <w:r>
        <w:rPr>
          <w:rFonts w:cs="Arial"/>
        </w:rPr>
        <w:tab/>
      </w:r>
      <w:r w:rsidRPr="007B3953">
        <w:rPr>
          <w:rFonts w:cs="Arial"/>
          <w:i/>
        </w:rPr>
        <w:t>Discrimination</w:t>
      </w:r>
      <w:r>
        <w:rPr>
          <w:rFonts w:cs="Arial"/>
        </w:rPr>
        <w:t xml:space="preserve">, within the meaning of the </w:t>
      </w:r>
      <w:r w:rsidRPr="00A745F1">
        <w:rPr>
          <w:rFonts w:cs="Arial"/>
          <w:i/>
        </w:rPr>
        <w:t>Racial Discrimination Act 1975</w:t>
      </w:r>
      <w:r>
        <w:rPr>
          <w:rFonts w:cs="Arial"/>
        </w:rPr>
        <w:t xml:space="preserve"> (Cth), </w:t>
      </w:r>
      <w:r w:rsidRPr="00E00EC7">
        <w:rPr>
          <w:rFonts w:cs="Arial"/>
          <w:i/>
        </w:rPr>
        <w:t>Sex Discrimination Act 1984</w:t>
      </w:r>
      <w:r>
        <w:rPr>
          <w:rFonts w:cs="Arial"/>
        </w:rPr>
        <w:t xml:space="preserve"> (Cth), </w:t>
      </w:r>
      <w:r w:rsidRPr="001F2C10">
        <w:rPr>
          <w:rFonts w:cs="Arial"/>
          <w:i/>
        </w:rPr>
        <w:t>Disability Discrimination Act 1992</w:t>
      </w:r>
      <w:r>
        <w:rPr>
          <w:rFonts w:cs="Arial"/>
        </w:rPr>
        <w:t xml:space="preserve"> (Cth) and the </w:t>
      </w:r>
      <w:r>
        <w:rPr>
          <w:rFonts w:cs="Arial"/>
          <w:i/>
        </w:rPr>
        <w:t xml:space="preserve">Age Discrimination Act 2004 </w:t>
      </w:r>
      <w:r>
        <w:rPr>
          <w:rFonts w:cs="Arial"/>
        </w:rPr>
        <w:t>(Cth).</w:t>
      </w:r>
    </w:p>
    <w:p w:rsidR="00C56729" w:rsidRPr="00C56729" w:rsidRDefault="00C56729" w:rsidP="004663F8">
      <w:pPr>
        <w:ind w:left="720" w:hanging="720"/>
        <w:jc w:val="both"/>
        <w:rPr>
          <w:rFonts w:cs="Arial"/>
          <w:sz w:val="16"/>
          <w:szCs w:val="16"/>
        </w:rPr>
      </w:pPr>
    </w:p>
    <w:p w:rsidR="004663F8" w:rsidRDefault="004663F8" w:rsidP="004663F8">
      <w:pPr>
        <w:ind w:left="720" w:hanging="720"/>
        <w:jc w:val="both"/>
        <w:rPr>
          <w:rFonts w:cs="Arial"/>
        </w:rPr>
      </w:pPr>
      <w:r>
        <w:rPr>
          <w:rFonts w:cs="Arial"/>
        </w:rPr>
        <w:tab/>
        <w:t>(d)</w:t>
      </w:r>
      <w:r>
        <w:rPr>
          <w:rFonts w:cs="Arial"/>
        </w:rPr>
        <w:tab/>
      </w:r>
      <w:r>
        <w:rPr>
          <w:rFonts w:cs="Arial"/>
          <w:i/>
        </w:rPr>
        <w:t>Retaliation</w:t>
      </w:r>
      <w:r w:rsidRPr="00E142C4">
        <w:rPr>
          <w:rFonts w:cs="Arial"/>
        </w:rPr>
        <w:t>, in the form of subjecting a</w:t>
      </w:r>
      <w:r>
        <w:rPr>
          <w:rFonts w:cs="Arial"/>
        </w:rPr>
        <w:t xml:space="preserve"> </w:t>
      </w:r>
      <w:r w:rsidRPr="00E142C4">
        <w:rPr>
          <w:rFonts w:cs="Arial"/>
        </w:rPr>
        <w:t xml:space="preserve">person to a detriment or treating that person unfairly or unequally on the ground that the person has </w:t>
      </w:r>
      <w:r>
        <w:rPr>
          <w:rFonts w:cs="Arial"/>
        </w:rPr>
        <w:t xml:space="preserve">or is suspected of having raised a concern or </w:t>
      </w:r>
      <w:r w:rsidRPr="00E142C4">
        <w:rPr>
          <w:rFonts w:cs="Arial"/>
        </w:rPr>
        <w:t>made a complaint</w:t>
      </w:r>
      <w:r>
        <w:rPr>
          <w:rFonts w:cs="Arial"/>
        </w:rPr>
        <w:t xml:space="preserve"> about inappropriate conduct by a Justice. An example of unfair treatment amounting to retaliation might be refusing to give a reference or giving an unfair reference.</w:t>
      </w:r>
    </w:p>
    <w:p w:rsidR="00C56729" w:rsidRPr="00C56729" w:rsidRDefault="00C56729" w:rsidP="004663F8">
      <w:pPr>
        <w:ind w:left="720" w:hanging="720"/>
        <w:jc w:val="both"/>
        <w:rPr>
          <w:rFonts w:cs="Arial"/>
          <w:sz w:val="16"/>
          <w:szCs w:val="16"/>
        </w:rPr>
      </w:pPr>
    </w:p>
    <w:p w:rsidR="004663F8" w:rsidRDefault="004663F8" w:rsidP="004663F8">
      <w:pPr>
        <w:ind w:left="720" w:hanging="720"/>
        <w:jc w:val="both"/>
        <w:rPr>
          <w:rFonts w:cs="Arial"/>
        </w:rPr>
      </w:pPr>
      <w:r>
        <w:rPr>
          <w:rFonts w:cs="Arial"/>
        </w:rPr>
        <w:t>3.2</w:t>
      </w:r>
      <w:r>
        <w:rPr>
          <w:rFonts w:cs="Arial"/>
        </w:rPr>
        <w:tab/>
        <w:t>No Justice will require any person to participate in any social occasion.</w:t>
      </w:r>
    </w:p>
    <w:p w:rsidR="00C56729" w:rsidRPr="00C56729" w:rsidRDefault="00C56729" w:rsidP="004663F8">
      <w:pPr>
        <w:ind w:left="720" w:hanging="720"/>
        <w:jc w:val="both"/>
        <w:rPr>
          <w:rFonts w:cs="Arial"/>
          <w:sz w:val="16"/>
          <w:szCs w:val="16"/>
        </w:rPr>
      </w:pPr>
    </w:p>
    <w:p w:rsidR="00C56729" w:rsidRPr="00C56729" w:rsidRDefault="004663F8" w:rsidP="004663F8">
      <w:pPr>
        <w:ind w:left="720" w:hanging="720"/>
        <w:jc w:val="both"/>
        <w:rPr>
          <w:rFonts w:cs="Arial"/>
          <w:sz w:val="16"/>
          <w:szCs w:val="16"/>
        </w:rPr>
      </w:pPr>
      <w:r>
        <w:rPr>
          <w:rFonts w:cs="Arial"/>
        </w:rPr>
        <w:t>3.3</w:t>
      </w:r>
      <w:r>
        <w:rPr>
          <w:rFonts w:cs="Arial"/>
        </w:rPr>
        <w:tab/>
        <w:t>No Justice will require any person to share any private transport with the Justice.</w:t>
      </w:r>
    </w:p>
    <w:p w:rsidR="00C56729" w:rsidRDefault="00C56729" w:rsidP="00C56729">
      <w:pPr>
        <w:pStyle w:val="MeetingAttendees"/>
      </w:pPr>
      <w:r>
        <w:br w:type="page"/>
      </w:r>
    </w:p>
    <w:p w:rsidR="00C56729" w:rsidRDefault="00C56729" w:rsidP="004663F8">
      <w:pPr>
        <w:ind w:left="720" w:hanging="720"/>
        <w:jc w:val="both"/>
        <w:rPr>
          <w:rFonts w:cs="Arial"/>
        </w:rPr>
      </w:pPr>
    </w:p>
    <w:p w:rsidR="004663F8" w:rsidRPr="00B26741" w:rsidRDefault="004663F8" w:rsidP="004663F8">
      <w:pPr>
        <w:ind w:left="720" w:hanging="720"/>
        <w:jc w:val="both"/>
        <w:rPr>
          <w:rFonts w:cs="Arial"/>
          <w:b/>
          <w:bCs/>
        </w:rPr>
      </w:pPr>
      <w:r w:rsidRPr="00B26741">
        <w:rPr>
          <w:rFonts w:cs="Arial"/>
          <w:b/>
          <w:bCs/>
        </w:rPr>
        <w:t>4.</w:t>
      </w:r>
      <w:r w:rsidRPr="00B26741">
        <w:rPr>
          <w:rFonts w:cs="Arial"/>
          <w:b/>
          <w:bCs/>
        </w:rPr>
        <w:tab/>
      </w:r>
      <w:r>
        <w:rPr>
          <w:rFonts w:cs="Arial"/>
          <w:b/>
          <w:bCs/>
        </w:rPr>
        <w:t xml:space="preserve">Training </w:t>
      </w:r>
      <w:r w:rsidRPr="00B26741">
        <w:rPr>
          <w:rFonts w:cs="Arial"/>
          <w:b/>
          <w:bCs/>
        </w:rPr>
        <w:t>of Justices</w:t>
      </w:r>
    </w:p>
    <w:p w:rsidR="004663F8" w:rsidRPr="00C56729" w:rsidRDefault="004663F8" w:rsidP="004663F8">
      <w:pPr>
        <w:ind w:left="720" w:hanging="720"/>
        <w:jc w:val="both"/>
        <w:rPr>
          <w:rFonts w:cs="Arial"/>
          <w:sz w:val="16"/>
          <w:szCs w:val="16"/>
        </w:rPr>
      </w:pPr>
    </w:p>
    <w:p w:rsidR="004663F8" w:rsidRDefault="004663F8" w:rsidP="004663F8">
      <w:pPr>
        <w:ind w:left="720" w:hanging="720"/>
        <w:jc w:val="both"/>
        <w:rPr>
          <w:rFonts w:cs="Arial"/>
        </w:rPr>
      </w:pPr>
      <w:r>
        <w:rPr>
          <w:rFonts w:cs="Arial"/>
        </w:rPr>
        <w:t>4.1</w:t>
      </w:r>
      <w:r>
        <w:rPr>
          <w:rFonts w:cs="Arial"/>
        </w:rPr>
        <w:tab/>
        <w:t>At least once each calendar year, the Justices will together participate in an externally facilitated training session on appropriate workplace practices. The session is to be arranged by the Chief Executive and Principal Registrar in consultation with a committee of Justices. The subject-matter to be covered in the session is to encompass the subject-matter covered in</w:t>
      </w:r>
      <w:r w:rsidRPr="006D2759">
        <w:rPr>
          <w:rFonts w:cs="Arial"/>
        </w:rPr>
        <w:t xml:space="preserve"> externally facilitated training sessions th</w:t>
      </w:r>
      <w:r>
        <w:rPr>
          <w:rFonts w:cs="Arial"/>
        </w:rPr>
        <w:t>at</w:t>
      </w:r>
      <w:r w:rsidRPr="006D2759">
        <w:rPr>
          <w:rFonts w:cs="Arial"/>
        </w:rPr>
        <w:t xml:space="preserve"> employees of the Court are required to attend that address issues covered in this Policy.  </w:t>
      </w:r>
    </w:p>
    <w:p w:rsidR="004663F8" w:rsidRPr="00C56729" w:rsidRDefault="004663F8" w:rsidP="004663F8">
      <w:pPr>
        <w:ind w:left="720" w:hanging="720"/>
        <w:jc w:val="both"/>
        <w:rPr>
          <w:rFonts w:cs="Arial"/>
          <w:sz w:val="16"/>
          <w:szCs w:val="16"/>
        </w:rPr>
      </w:pPr>
    </w:p>
    <w:p w:rsidR="004663F8" w:rsidRPr="0087092C" w:rsidRDefault="004663F8" w:rsidP="004663F8">
      <w:pPr>
        <w:ind w:left="720" w:hanging="720"/>
        <w:jc w:val="both"/>
        <w:rPr>
          <w:rFonts w:cs="Arial"/>
          <w:b/>
          <w:bCs/>
        </w:rPr>
      </w:pPr>
      <w:r w:rsidRPr="00E814E5">
        <w:rPr>
          <w:rFonts w:cs="Arial"/>
          <w:b/>
          <w:bCs/>
        </w:rPr>
        <w:t>5.</w:t>
      </w:r>
      <w:r w:rsidRPr="00E814E5">
        <w:rPr>
          <w:rFonts w:cs="Arial"/>
          <w:b/>
          <w:bCs/>
        </w:rPr>
        <w:tab/>
        <w:t xml:space="preserve">Raising </w:t>
      </w:r>
      <w:r>
        <w:rPr>
          <w:rFonts w:cs="Arial"/>
          <w:b/>
          <w:bCs/>
        </w:rPr>
        <w:t>c</w:t>
      </w:r>
      <w:r w:rsidRPr="00E814E5">
        <w:rPr>
          <w:rFonts w:cs="Arial"/>
          <w:b/>
          <w:bCs/>
        </w:rPr>
        <w:t>oncerns</w:t>
      </w:r>
      <w:r>
        <w:rPr>
          <w:rFonts w:cs="Arial"/>
          <w:b/>
          <w:bCs/>
        </w:rPr>
        <w:t xml:space="preserve"> and m</w:t>
      </w:r>
      <w:r w:rsidRPr="00B310D6">
        <w:rPr>
          <w:rFonts w:cs="Arial"/>
          <w:b/>
          <w:bCs/>
        </w:rPr>
        <w:t>aking complaints</w:t>
      </w:r>
    </w:p>
    <w:p w:rsidR="004663F8" w:rsidRPr="00C56729" w:rsidRDefault="004663F8" w:rsidP="004663F8">
      <w:pPr>
        <w:ind w:left="720" w:hanging="720"/>
        <w:jc w:val="both"/>
        <w:rPr>
          <w:rFonts w:cs="Arial"/>
          <w:sz w:val="16"/>
          <w:szCs w:val="16"/>
        </w:rPr>
      </w:pPr>
    </w:p>
    <w:p w:rsidR="004663F8" w:rsidRDefault="004663F8" w:rsidP="004663F8">
      <w:pPr>
        <w:ind w:left="720" w:hanging="720"/>
        <w:jc w:val="both"/>
        <w:rPr>
          <w:rFonts w:cs="Arial"/>
        </w:rPr>
      </w:pPr>
      <w:r>
        <w:rPr>
          <w:rFonts w:cs="Arial"/>
        </w:rPr>
        <w:t>5.1</w:t>
      </w:r>
      <w:r>
        <w:rPr>
          <w:rFonts w:cs="Arial"/>
        </w:rPr>
        <w:tab/>
        <w:t>A</w:t>
      </w:r>
      <w:r w:rsidRPr="00E142C4">
        <w:rPr>
          <w:rFonts w:cs="Arial"/>
        </w:rPr>
        <w:t xml:space="preserve">ny </w:t>
      </w:r>
      <w:r>
        <w:rPr>
          <w:rFonts w:cs="Arial"/>
        </w:rPr>
        <w:t xml:space="preserve">person can raise a concern or </w:t>
      </w:r>
      <w:r w:rsidRPr="00E142C4">
        <w:rPr>
          <w:rFonts w:cs="Arial"/>
        </w:rPr>
        <w:t>ma</w:t>
      </w:r>
      <w:r>
        <w:rPr>
          <w:rFonts w:cs="Arial"/>
        </w:rPr>
        <w:t>k</w:t>
      </w:r>
      <w:r w:rsidRPr="00E142C4">
        <w:rPr>
          <w:rFonts w:cs="Arial"/>
        </w:rPr>
        <w:t>e a complaint</w:t>
      </w:r>
      <w:r>
        <w:rPr>
          <w:rFonts w:cs="Arial"/>
        </w:rPr>
        <w:t xml:space="preserve"> about any inappropriate</w:t>
      </w:r>
      <w:r>
        <w:rPr>
          <w:rFonts w:cs="Arial"/>
          <w:color w:val="FF0000"/>
        </w:rPr>
        <w:t xml:space="preserve"> </w:t>
      </w:r>
      <w:r>
        <w:rPr>
          <w:rFonts w:cs="Arial"/>
        </w:rPr>
        <w:t xml:space="preserve">conduct or any suspected inappropriate conduct by the Chief Justice or any Justice. That is so whether the inappropriate conduct is directed to that person or to any other person. It is not only desirable but important that any such inappropriate conduct be reported. No obligation of confidentiality binding on the person is to be understood as in any way inhibiting the raising of the concern or the making of the complaint. </w:t>
      </w:r>
    </w:p>
    <w:p w:rsidR="004663F8" w:rsidRPr="00C56729" w:rsidRDefault="004663F8" w:rsidP="004663F8">
      <w:pPr>
        <w:ind w:left="720" w:hanging="720"/>
        <w:jc w:val="both"/>
        <w:rPr>
          <w:rFonts w:cs="Arial"/>
          <w:sz w:val="16"/>
          <w:szCs w:val="16"/>
        </w:rPr>
      </w:pPr>
    </w:p>
    <w:p w:rsidR="004663F8" w:rsidRDefault="004663F8" w:rsidP="004663F8">
      <w:pPr>
        <w:ind w:left="720" w:hanging="720"/>
        <w:jc w:val="both"/>
        <w:rPr>
          <w:rFonts w:cs="Arial"/>
        </w:rPr>
      </w:pPr>
      <w:r>
        <w:rPr>
          <w:rFonts w:cs="Arial"/>
        </w:rPr>
        <w:t>5.2</w:t>
      </w:r>
      <w:r>
        <w:rPr>
          <w:rFonts w:cs="Arial"/>
        </w:rPr>
        <w:tab/>
        <w:t xml:space="preserve">A concern can be raised, or the complaint can be made, to: </w:t>
      </w:r>
    </w:p>
    <w:p w:rsidR="004663F8" w:rsidRPr="00C56729" w:rsidRDefault="004663F8" w:rsidP="004663F8">
      <w:pPr>
        <w:ind w:left="720" w:hanging="720"/>
        <w:jc w:val="both"/>
        <w:rPr>
          <w:rFonts w:cs="Arial"/>
          <w:sz w:val="16"/>
          <w:szCs w:val="16"/>
        </w:rPr>
      </w:pPr>
    </w:p>
    <w:p w:rsidR="004663F8" w:rsidRDefault="004663F8" w:rsidP="004663F8">
      <w:pPr>
        <w:ind w:left="720" w:hanging="720"/>
        <w:jc w:val="both"/>
        <w:rPr>
          <w:rFonts w:cs="Arial"/>
        </w:rPr>
      </w:pPr>
      <w:r>
        <w:rPr>
          <w:rFonts w:cs="Arial"/>
        </w:rPr>
        <w:tab/>
        <w:t>(a)</w:t>
      </w:r>
      <w:r>
        <w:rPr>
          <w:rFonts w:cs="Arial"/>
        </w:rPr>
        <w:tab/>
        <w:t>the Chief Justice or any Justice;</w:t>
      </w:r>
    </w:p>
    <w:p w:rsidR="004663F8" w:rsidRPr="00C56729" w:rsidRDefault="004663F8" w:rsidP="004663F8">
      <w:pPr>
        <w:ind w:left="720" w:hanging="720"/>
        <w:jc w:val="both"/>
        <w:rPr>
          <w:rFonts w:cs="Arial"/>
          <w:sz w:val="16"/>
          <w:szCs w:val="16"/>
        </w:rPr>
      </w:pPr>
    </w:p>
    <w:p w:rsidR="004663F8" w:rsidRDefault="004663F8" w:rsidP="004663F8">
      <w:pPr>
        <w:ind w:left="720" w:hanging="720"/>
        <w:jc w:val="both"/>
        <w:rPr>
          <w:rFonts w:cs="Arial"/>
        </w:rPr>
      </w:pPr>
      <w:r>
        <w:rPr>
          <w:rFonts w:cs="Arial"/>
        </w:rPr>
        <w:tab/>
        <w:t>(b)</w:t>
      </w:r>
      <w:r>
        <w:rPr>
          <w:rFonts w:cs="Arial"/>
        </w:rPr>
        <w:tab/>
        <w:t>the Chief Executive and Principal Registrar; or</w:t>
      </w:r>
    </w:p>
    <w:p w:rsidR="004663F8" w:rsidRPr="00C56729" w:rsidRDefault="004663F8" w:rsidP="004663F8">
      <w:pPr>
        <w:ind w:left="720" w:hanging="720"/>
        <w:jc w:val="both"/>
        <w:rPr>
          <w:rFonts w:cs="Arial"/>
          <w:sz w:val="16"/>
          <w:szCs w:val="16"/>
        </w:rPr>
      </w:pPr>
    </w:p>
    <w:p w:rsidR="004663F8" w:rsidRDefault="004663F8" w:rsidP="004663F8">
      <w:pPr>
        <w:ind w:left="720" w:hanging="720"/>
        <w:jc w:val="both"/>
        <w:rPr>
          <w:rFonts w:cs="Arial"/>
        </w:rPr>
      </w:pPr>
      <w:r>
        <w:rPr>
          <w:rFonts w:cs="Arial"/>
        </w:rPr>
        <w:tab/>
        <w:t>(c)</w:t>
      </w:r>
      <w:r>
        <w:rPr>
          <w:rFonts w:cs="Arial"/>
        </w:rPr>
        <w:tab/>
        <w:t>the Senior Registrar.</w:t>
      </w:r>
    </w:p>
    <w:p w:rsidR="004663F8" w:rsidRPr="00C56729" w:rsidRDefault="004663F8" w:rsidP="004663F8">
      <w:pPr>
        <w:ind w:left="720" w:hanging="720"/>
        <w:jc w:val="both"/>
        <w:rPr>
          <w:rFonts w:cs="Arial"/>
          <w:sz w:val="16"/>
          <w:szCs w:val="16"/>
        </w:rPr>
      </w:pPr>
    </w:p>
    <w:p w:rsidR="004663F8" w:rsidRDefault="004663F8" w:rsidP="004663F8">
      <w:pPr>
        <w:ind w:left="720" w:hanging="720"/>
        <w:jc w:val="both"/>
        <w:rPr>
          <w:rFonts w:cs="Arial"/>
        </w:rPr>
      </w:pPr>
      <w:r>
        <w:rPr>
          <w:rFonts w:cs="Arial"/>
        </w:rPr>
        <w:t>5.3</w:t>
      </w:r>
      <w:r>
        <w:rPr>
          <w:rFonts w:cs="Arial"/>
        </w:rPr>
        <w:tab/>
        <w:t>The concern can be raised, or the complaint can be made:</w:t>
      </w:r>
    </w:p>
    <w:p w:rsidR="004663F8" w:rsidRPr="00C56729" w:rsidRDefault="004663F8" w:rsidP="004663F8">
      <w:pPr>
        <w:ind w:left="720" w:hanging="720"/>
        <w:jc w:val="both"/>
        <w:rPr>
          <w:rFonts w:cs="Arial"/>
          <w:sz w:val="16"/>
          <w:szCs w:val="16"/>
        </w:rPr>
      </w:pPr>
    </w:p>
    <w:p w:rsidR="004663F8" w:rsidRDefault="004663F8" w:rsidP="004663F8">
      <w:pPr>
        <w:ind w:left="720" w:hanging="720"/>
        <w:jc w:val="both"/>
        <w:rPr>
          <w:rFonts w:cs="Arial"/>
        </w:rPr>
      </w:pPr>
      <w:r>
        <w:rPr>
          <w:rFonts w:cs="Arial"/>
        </w:rPr>
        <w:tab/>
        <w:t>(a)</w:t>
      </w:r>
      <w:r>
        <w:rPr>
          <w:rFonts w:cs="Arial"/>
        </w:rPr>
        <w:tab/>
        <w:t>formally or informally; and</w:t>
      </w:r>
    </w:p>
    <w:p w:rsidR="004663F8" w:rsidRPr="00C56729" w:rsidRDefault="004663F8" w:rsidP="004663F8">
      <w:pPr>
        <w:ind w:left="720" w:hanging="720"/>
        <w:jc w:val="both"/>
        <w:rPr>
          <w:rFonts w:cs="Arial"/>
          <w:sz w:val="16"/>
          <w:szCs w:val="16"/>
        </w:rPr>
      </w:pPr>
    </w:p>
    <w:p w:rsidR="004663F8" w:rsidRDefault="004663F8" w:rsidP="004663F8">
      <w:pPr>
        <w:ind w:left="720" w:hanging="720"/>
        <w:jc w:val="both"/>
        <w:rPr>
          <w:rFonts w:cs="Arial"/>
        </w:rPr>
      </w:pPr>
      <w:r>
        <w:rPr>
          <w:rFonts w:cs="Arial"/>
        </w:rPr>
        <w:tab/>
        <w:t>(b)</w:t>
      </w:r>
      <w:r>
        <w:rPr>
          <w:rFonts w:cs="Arial"/>
        </w:rPr>
        <w:tab/>
        <w:t>openly or confidentially.</w:t>
      </w:r>
    </w:p>
    <w:p w:rsidR="004663F8" w:rsidRPr="00C56729" w:rsidRDefault="004663F8" w:rsidP="004663F8">
      <w:pPr>
        <w:ind w:left="720" w:hanging="720"/>
        <w:jc w:val="both"/>
        <w:rPr>
          <w:rFonts w:cs="Arial"/>
          <w:sz w:val="16"/>
          <w:szCs w:val="16"/>
        </w:rPr>
      </w:pPr>
    </w:p>
    <w:p w:rsidR="004663F8" w:rsidRDefault="004663F8" w:rsidP="004663F8">
      <w:pPr>
        <w:ind w:left="720" w:hanging="720"/>
        <w:jc w:val="both"/>
        <w:rPr>
          <w:rFonts w:cs="Arial"/>
        </w:rPr>
      </w:pPr>
      <w:r>
        <w:rPr>
          <w:rFonts w:cs="Arial"/>
        </w:rPr>
        <w:t>5.4</w:t>
      </w:r>
      <w:r>
        <w:rPr>
          <w:rFonts w:cs="Arial"/>
        </w:rPr>
        <w:tab/>
        <w:t>A person who raises the concern or makes the complaint will always:</w:t>
      </w:r>
    </w:p>
    <w:p w:rsidR="004663F8" w:rsidRDefault="004663F8" w:rsidP="004663F8">
      <w:pPr>
        <w:ind w:left="720" w:hanging="720"/>
        <w:jc w:val="both"/>
        <w:rPr>
          <w:rFonts w:cs="Arial"/>
        </w:rPr>
      </w:pPr>
      <w:r>
        <w:rPr>
          <w:rFonts w:cs="Arial"/>
        </w:rPr>
        <w:tab/>
        <w:t>(a)</w:t>
      </w:r>
      <w:r>
        <w:rPr>
          <w:rFonts w:cs="Arial"/>
        </w:rPr>
        <w:tab/>
        <w:t>be taken seriously and treated with respect and courtesy;</w:t>
      </w:r>
    </w:p>
    <w:p w:rsidR="004663F8" w:rsidRPr="00C56729" w:rsidRDefault="004663F8" w:rsidP="004663F8">
      <w:pPr>
        <w:ind w:left="720" w:hanging="720"/>
        <w:jc w:val="both"/>
        <w:rPr>
          <w:rFonts w:cs="Arial"/>
          <w:sz w:val="16"/>
          <w:szCs w:val="16"/>
        </w:rPr>
      </w:pPr>
    </w:p>
    <w:p w:rsidR="004663F8" w:rsidRDefault="004663F8" w:rsidP="004663F8">
      <w:pPr>
        <w:ind w:left="720" w:hanging="720"/>
        <w:jc w:val="both"/>
        <w:rPr>
          <w:rFonts w:cs="Arial"/>
        </w:rPr>
      </w:pPr>
      <w:r>
        <w:rPr>
          <w:rFonts w:cs="Arial"/>
        </w:rPr>
        <w:lastRenderedPageBreak/>
        <w:tab/>
        <w:t>(b)</w:t>
      </w:r>
      <w:r>
        <w:rPr>
          <w:rFonts w:cs="Arial"/>
        </w:rPr>
        <w:tab/>
        <w:t>be given an opportunity to participate in the process by which their concern or complaint is addressed;</w:t>
      </w:r>
    </w:p>
    <w:p w:rsidR="004663F8" w:rsidRPr="00C56729" w:rsidRDefault="004663F8" w:rsidP="004663F8">
      <w:pPr>
        <w:ind w:left="720" w:hanging="720"/>
        <w:jc w:val="both"/>
        <w:rPr>
          <w:rFonts w:cs="Arial"/>
          <w:sz w:val="16"/>
          <w:szCs w:val="16"/>
        </w:rPr>
      </w:pPr>
    </w:p>
    <w:p w:rsidR="004663F8" w:rsidRDefault="004663F8" w:rsidP="004663F8">
      <w:pPr>
        <w:ind w:left="720" w:hanging="720"/>
        <w:jc w:val="both"/>
        <w:rPr>
          <w:rFonts w:cs="Arial"/>
        </w:rPr>
      </w:pPr>
      <w:r>
        <w:rPr>
          <w:rFonts w:cs="Arial"/>
        </w:rPr>
        <w:tab/>
        <w:t>(c)</w:t>
      </w:r>
      <w:r>
        <w:rPr>
          <w:rFonts w:cs="Arial"/>
        </w:rPr>
        <w:tab/>
        <w:t>be informed and kept informed about the progress and outcome of the process by which their concern or complaint is addressed;</w:t>
      </w:r>
    </w:p>
    <w:p w:rsidR="004663F8" w:rsidRPr="00C56729" w:rsidRDefault="004663F8" w:rsidP="004663F8">
      <w:pPr>
        <w:ind w:left="720" w:hanging="720"/>
        <w:jc w:val="both"/>
        <w:rPr>
          <w:rFonts w:cs="Arial"/>
          <w:sz w:val="16"/>
          <w:szCs w:val="16"/>
        </w:rPr>
      </w:pPr>
    </w:p>
    <w:p w:rsidR="004663F8" w:rsidRDefault="004663F8" w:rsidP="004663F8">
      <w:pPr>
        <w:ind w:left="720" w:hanging="720"/>
        <w:jc w:val="both"/>
        <w:rPr>
          <w:rFonts w:cs="Arial"/>
        </w:rPr>
      </w:pPr>
      <w:r>
        <w:rPr>
          <w:rFonts w:cs="Arial"/>
        </w:rPr>
        <w:tab/>
        <w:t>(d)</w:t>
      </w:r>
      <w:r>
        <w:rPr>
          <w:rFonts w:cs="Arial"/>
        </w:rPr>
        <w:tab/>
        <w:t>be offered support, including external counselling;</w:t>
      </w:r>
    </w:p>
    <w:p w:rsidR="004663F8" w:rsidRPr="00C56729" w:rsidRDefault="004663F8" w:rsidP="004663F8">
      <w:pPr>
        <w:ind w:left="720" w:hanging="720"/>
        <w:jc w:val="both"/>
        <w:rPr>
          <w:rFonts w:cs="Arial"/>
          <w:sz w:val="16"/>
          <w:szCs w:val="16"/>
        </w:rPr>
      </w:pPr>
    </w:p>
    <w:p w:rsidR="004663F8" w:rsidRDefault="004663F8" w:rsidP="004663F8">
      <w:pPr>
        <w:ind w:left="720" w:hanging="720"/>
        <w:jc w:val="both"/>
        <w:rPr>
          <w:rFonts w:cs="Arial"/>
        </w:rPr>
      </w:pPr>
      <w:r>
        <w:rPr>
          <w:rFonts w:cs="Arial"/>
        </w:rPr>
        <w:tab/>
        <w:t>(e)</w:t>
      </w:r>
      <w:r>
        <w:rPr>
          <w:rFonts w:cs="Arial"/>
        </w:rPr>
        <w:tab/>
        <w:t xml:space="preserve">be offered an opportunity to remove themselves from ongoing contact with the Justice about whose conduct the concern has been raised or complaint has been made, including where appropriate by movement to a position of equivalent status within the Court. For example, an associate raising a concern or </w:t>
      </w:r>
      <w:r w:rsidRPr="00E142C4">
        <w:rPr>
          <w:rFonts w:cs="Arial"/>
        </w:rPr>
        <w:t>ma</w:t>
      </w:r>
      <w:r>
        <w:rPr>
          <w:rFonts w:cs="Arial"/>
        </w:rPr>
        <w:t>king</w:t>
      </w:r>
      <w:r w:rsidRPr="00E142C4">
        <w:rPr>
          <w:rFonts w:cs="Arial"/>
        </w:rPr>
        <w:t xml:space="preserve"> a complaint</w:t>
      </w:r>
      <w:r>
        <w:rPr>
          <w:rFonts w:cs="Arial"/>
        </w:rPr>
        <w:t xml:space="preserve"> about inappropriate conduct by the Justice within whose chambers the associate works might in an appropriate case be offered an opportunity to complete the term of their contract of employment working with the Legal Research Officer or the Publishing Officer or in the chambers of the Chief Justice or the senior puisne Justice.</w:t>
      </w:r>
    </w:p>
    <w:p w:rsidR="004663F8" w:rsidRPr="00C56729" w:rsidRDefault="004663F8" w:rsidP="004663F8">
      <w:pPr>
        <w:ind w:left="720" w:hanging="720"/>
        <w:jc w:val="both"/>
        <w:rPr>
          <w:rFonts w:cs="Arial"/>
          <w:sz w:val="16"/>
          <w:szCs w:val="16"/>
        </w:rPr>
      </w:pPr>
    </w:p>
    <w:p w:rsidR="004663F8" w:rsidRDefault="004663F8" w:rsidP="004663F8">
      <w:pPr>
        <w:ind w:left="720" w:hanging="720"/>
        <w:jc w:val="both"/>
        <w:rPr>
          <w:rFonts w:cs="Arial"/>
          <w:b/>
          <w:bCs/>
        </w:rPr>
      </w:pPr>
      <w:r w:rsidRPr="00B07C28">
        <w:rPr>
          <w:rFonts w:cs="Arial"/>
          <w:b/>
          <w:bCs/>
        </w:rPr>
        <w:t>6.</w:t>
      </w:r>
      <w:r w:rsidRPr="00B07C28">
        <w:rPr>
          <w:rFonts w:cs="Arial"/>
          <w:b/>
          <w:bCs/>
        </w:rPr>
        <w:tab/>
      </w:r>
      <w:r>
        <w:rPr>
          <w:rFonts w:cs="Arial"/>
          <w:b/>
          <w:bCs/>
        </w:rPr>
        <w:t>Addressing</w:t>
      </w:r>
      <w:r w:rsidRPr="00B07C28">
        <w:rPr>
          <w:rFonts w:cs="Arial"/>
          <w:b/>
          <w:bCs/>
        </w:rPr>
        <w:t xml:space="preserve"> concerns and complaints</w:t>
      </w:r>
    </w:p>
    <w:p w:rsidR="004663F8" w:rsidRPr="00C56729" w:rsidRDefault="004663F8" w:rsidP="004663F8">
      <w:pPr>
        <w:ind w:left="720" w:hanging="720"/>
        <w:jc w:val="both"/>
        <w:rPr>
          <w:rFonts w:cs="Arial"/>
          <w:b/>
          <w:bCs/>
          <w:sz w:val="16"/>
          <w:szCs w:val="16"/>
        </w:rPr>
      </w:pPr>
    </w:p>
    <w:p w:rsidR="004663F8" w:rsidRDefault="004663F8" w:rsidP="004663F8">
      <w:pPr>
        <w:ind w:left="720" w:hanging="720"/>
        <w:jc w:val="both"/>
        <w:rPr>
          <w:rFonts w:cs="Arial"/>
        </w:rPr>
      </w:pPr>
      <w:r>
        <w:rPr>
          <w:rFonts w:cs="Arial"/>
        </w:rPr>
        <w:t>6.1</w:t>
      </w:r>
      <w:r>
        <w:rPr>
          <w:rFonts w:cs="Arial"/>
        </w:rPr>
        <w:tab/>
        <w:t xml:space="preserve">A concern raised or complaint made to a Justice, to the Chief Executive and Principal Registrar, or to the Senior Registrar about inappropriate conduct by a Justice will be referred to the Chief Justice if the person raising the concern or making the complaint wishes that to happen or if the Justice, the Chief Executive and Principal Registrar, or the Senior Registrar considers that it raises a serious issue which cannot be resolved without reference to the Chief Justice. Similarly, a concern raised or complaint made to a Justice, to the Chief Executive and Principal Registrar, or to the Senior Registrar about inappropriate conduct by the Chief Justice will be referred to the senior puisne Justice if the person raising the concern or making the complaint wishes that to happen or if the Justice, the Chief Executive and Principal Registrar, or the Senior Registrar considers that it raises a serious issue which cannot be resolved without reference to the senior puisne Justice. </w:t>
      </w:r>
    </w:p>
    <w:p w:rsidR="004663F8" w:rsidRPr="00C56729" w:rsidRDefault="004663F8" w:rsidP="004663F8">
      <w:pPr>
        <w:ind w:left="720" w:hanging="720"/>
        <w:jc w:val="both"/>
        <w:rPr>
          <w:rFonts w:cs="Arial"/>
          <w:b/>
          <w:bCs/>
          <w:sz w:val="16"/>
          <w:szCs w:val="16"/>
        </w:rPr>
      </w:pPr>
    </w:p>
    <w:p w:rsidR="004663F8" w:rsidRPr="00153924" w:rsidRDefault="004663F8" w:rsidP="004663F8">
      <w:pPr>
        <w:ind w:left="720" w:hanging="720"/>
        <w:jc w:val="both"/>
        <w:rPr>
          <w:rFonts w:cs="Arial"/>
        </w:rPr>
      </w:pPr>
      <w:r>
        <w:rPr>
          <w:rFonts w:cs="Arial"/>
        </w:rPr>
        <w:t>6.2</w:t>
      </w:r>
      <w:r>
        <w:rPr>
          <w:rFonts w:cs="Arial"/>
        </w:rPr>
        <w:tab/>
        <w:t>T</w:t>
      </w:r>
      <w:r w:rsidRPr="00153924">
        <w:rPr>
          <w:rFonts w:cs="Arial"/>
        </w:rPr>
        <w:t xml:space="preserve">he procedure adopted </w:t>
      </w:r>
      <w:r>
        <w:rPr>
          <w:rFonts w:cs="Arial"/>
        </w:rPr>
        <w:t>by the Chief Justice</w:t>
      </w:r>
      <w:r w:rsidRPr="00153924">
        <w:rPr>
          <w:rFonts w:cs="Arial"/>
        </w:rPr>
        <w:t xml:space="preserve"> </w:t>
      </w:r>
      <w:r>
        <w:rPr>
          <w:rFonts w:cs="Arial"/>
        </w:rPr>
        <w:t>or the senior puisne Justice</w:t>
      </w:r>
      <w:r w:rsidRPr="00153924">
        <w:rPr>
          <w:rFonts w:cs="Arial"/>
        </w:rPr>
        <w:t xml:space="preserve"> </w:t>
      </w:r>
      <w:r>
        <w:rPr>
          <w:rFonts w:cs="Arial"/>
        </w:rPr>
        <w:t>to address</w:t>
      </w:r>
      <w:r w:rsidRPr="00153924">
        <w:rPr>
          <w:rFonts w:cs="Arial"/>
        </w:rPr>
        <w:t xml:space="preserve"> a </w:t>
      </w:r>
      <w:r>
        <w:rPr>
          <w:rFonts w:cs="Arial"/>
        </w:rPr>
        <w:t xml:space="preserve">concern or </w:t>
      </w:r>
      <w:r w:rsidRPr="00153924">
        <w:rPr>
          <w:rFonts w:cs="Arial"/>
        </w:rPr>
        <w:t>complaint will depend upon the circumstances</w:t>
      </w:r>
      <w:r>
        <w:rPr>
          <w:rFonts w:cs="Arial"/>
        </w:rPr>
        <w:t xml:space="preserve">. Those circumstances will include: the nature of the concern or complaint; how the person raising the concern or complaint may wish for it to be handled; and, if the concern or complaint relates to inappropriate conduct directed towards another person, the wishes of that other person. </w:t>
      </w:r>
    </w:p>
    <w:p w:rsidR="004663F8" w:rsidRPr="00C56729" w:rsidRDefault="004663F8" w:rsidP="004663F8">
      <w:pPr>
        <w:ind w:left="720" w:hanging="720"/>
        <w:jc w:val="both"/>
        <w:rPr>
          <w:rFonts w:cs="Arial"/>
          <w:sz w:val="16"/>
          <w:szCs w:val="16"/>
        </w:rPr>
      </w:pPr>
    </w:p>
    <w:p w:rsidR="004663F8" w:rsidRPr="001E7DC9" w:rsidRDefault="004663F8" w:rsidP="004663F8">
      <w:pPr>
        <w:ind w:left="720" w:hanging="720"/>
        <w:jc w:val="both"/>
        <w:rPr>
          <w:rFonts w:cs="Arial"/>
          <w:sz w:val="16"/>
          <w:szCs w:val="16"/>
        </w:rPr>
      </w:pPr>
      <w:r>
        <w:rPr>
          <w:rFonts w:cs="Arial"/>
        </w:rPr>
        <w:lastRenderedPageBreak/>
        <w:t>6.3</w:t>
      </w:r>
      <w:r>
        <w:rPr>
          <w:rFonts w:cs="Arial"/>
        </w:rPr>
        <w:tab/>
      </w:r>
      <w:r w:rsidRPr="00153924">
        <w:rPr>
          <w:rFonts w:cs="Arial"/>
        </w:rPr>
        <w:t xml:space="preserve">An informal procedure focused on the resolution of the issue rather than substantiation of the underlying </w:t>
      </w:r>
      <w:r>
        <w:rPr>
          <w:rFonts w:cs="Arial"/>
        </w:rPr>
        <w:t xml:space="preserve">concern or </w:t>
      </w:r>
      <w:r w:rsidRPr="00153924">
        <w:rPr>
          <w:rFonts w:cs="Arial"/>
        </w:rPr>
        <w:t xml:space="preserve">complaint may be appropriate where the person raising </w:t>
      </w:r>
      <w:r>
        <w:rPr>
          <w:rFonts w:cs="Arial"/>
        </w:rPr>
        <w:t>a</w:t>
      </w:r>
      <w:r w:rsidRPr="00153924">
        <w:rPr>
          <w:rFonts w:cs="Arial"/>
        </w:rPr>
        <w:t xml:space="preserve"> concern wishes to resolve the issue informally.</w:t>
      </w:r>
      <w:r>
        <w:rPr>
          <w:rFonts w:cs="Arial"/>
        </w:rPr>
        <w:t xml:space="preserve"> Such a procedure may involve the Chief Justice</w:t>
      </w:r>
      <w:r w:rsidRPr="00153924">
        <w:rPr>
          <w:rFonts w:cs="Arial"/>
        </w:rPr>
        <w:t xml:space="preserve"> </w:t>
      </w:r>
      <w:r>
        <w:rPr>
          <w:rFonts w:cs="Arial"/>
        </w:rPr>
        <w:t xml:space="preserve">or the senior puisne Justice speaking directly to the person raising the concern or complaint and then to the Justice about whose conduct the concern has been raised or complaint has been made. </w:t>
      </w:r>
    </w:p>
    <w:p w:rsidR="004663F8" w:rsidRPr="00C56729" w:rsidRDefault="004663F8" w:rsidP="004663F8">
      <w:pPr>
        <w:ind w:left="720" w:hanging="720"/>
        <w:jc w:val="both"/>
        <w:rPr>
          <w:rFonts w:cs="Arial"/>
          <w:sz w:val="16"/>
          <w:szCs w:val="16"/>
        </w:rPr>
      </w:pPr>
    </w:p>
    <w:p w:rsidR="004663F8" w:rsidRPr="00625D91" w:rsidRDefault="004663F8" w:rsidP="004663F8">
      <w:pPr>
        <w:ind w:left="720" w:hanging="720"/>
        <w:jc w:val="both"/>
        <w:rPr>
          <w:rFonts w:cs="Arial"/>
          <w:sz w:val="16"/>
          <w:szCs w:val="16"/>
        </w:rPr>
      </w:pPr>
      <w:r>
        <w:rPr>
          <w:rFonts w:cs="Arial"/>
        </w:rPr>
        <w:t>6.4</w:t>
      </w:r>
      <w:r>
        <w:rPr>
          <w:rFonts w:cs="Arial"/>
        </w:rPr>
        <w:tab/>
      </w:r>
      <w:r w:rsidRPr="00153924">
        <w:rPr>
          <w:rFonts w:cs="Arial"/>
        </w:rPr>
        <w:t xml:space="preserve">A formal </w:t>
      </w:r>
      <w:r>
        <w:rPr>
          <w:rFonts w:cs="Arial"/>
        </w:rPr>
        <w:t>investigation</w:t>
      </w:r>
      <w:r w:rsidRPr="00153924">
        <w:rPr>
          <w:rFonts w:cs="Arial"/>
        </w:rPr>
        <w:t xml:space="preserve"> focused on establishing whether a </w:t>
      </w:r>
      <w:r>
        <w:rPr>
          <w:rFonts w:cs="Arial"/>
        </w:rPr>
        <w:t>complaint</w:t>
      </w:r>
      <w:r w:rsidRPr="00153924">
        <w:rPr>
          <w:rFonts w:cs="Arial"/>
        </w:rPr>
        <w:t xml:space="preserve"> is substantiated will be appropriate where the complaint involves </w:t>
      </w:r>
      <w:r>
        <w:rPr>
          <w:rFonts w:cs="Arial"/>
        </w:rPr>
        <w:t xml:space="preserve">a </w:t>
      </w:r>
      <w:r w:rsidRPr="00153924">
        <w:rPr>
          <w:rFonts w:cs="Arial"/>
        </w:rPr>
        <w:t>serious allegation of inappropriate workplace</w:t>
      </w:r>
      <w:r>
        <w:rPr>
          <w:rFonts w:cs="Arial"/>
        </w:rPr>
        <w:t xml:space="preserve"> conduct which</w:t>
      </w:r>
      <w:r w:rsidRPr="00153924">
        <w:rPr>
          <w:rFonts w:cs="Arial"/>
        </w:rPr>
        <w:t xml:space="preserve"> </w:t>
      </w:r>
      <w:r>
        <w:rPr>
          <w:rFonts w:cs="Arial"/>
        </w:rPr>
        <w:t>is</w:t>
      </w:r>
      <w:r w:rsidRPr="00153924">
        <w:rPr>
          <w:rFonts w:cs="Arial"/>
        </w:rPr>
        <w:t xml:space="preserve"> denied and </w:t>
      </w:r>
      <w:r>
        <w:rPr>
          <w:rFonts w:cs="Arial"/>
        </w:rPr>
        <w:t xml:space="preserve">where </w:t>
      </w:r>
      <w:r w:rsidRPr="00153924">
        <w:rPr>
          <w:rFonts w:cs="Arial"/>
        </w:rPr>
        <w:t xml:space="preserve">the person </w:t>
      </w:r>
      <w:r>
        <w:rPr>
          <w:rFonts w:cs="Arial"/>
        </w:rPr>
        <w:t>making</w:t>
      </w:r>
      <w:r w:rsidRPr="00153924">
        <w:rPr>
          <w:rFonts w:cs="Arial"/>
        </w:rPr>
        <w:t xml:space="preserve"> the complaint wishes to proceed with a formal investigation</w:t>
      </w:r>
      <w:r>
        <w:rPr>
          <w:rFonts w:cs="Arial"/>
        </w:rPr>
        <w:t>.</w:t>
      </w:r>
      <w:r w:rsidRPr="00153924">
        <w:rPr>
          <w:rFonts w:cs="Arial"/>
        </w:rPr>
        <w:t xml:space="preserve"> </w:t>
      </w:r>
    </w:p>
    <w:p w:rsidR="004663F8" w:rsidRPr="00153924" w:rsidRDefault="004663F8" w:rsidP="004663F8">
      <w:pPr>
        <w:ind w:left="720" w:hanging="720"/>
        <w:jc w:val="both"/>
        <w:rPr>
          <w:rFonts w:cs="Arial"/>
        </w:rPr>
      </w:pPr>
    </w:p>
    <w:p w:rsidR="004663F8" w:rsidRPr="00625D91" w:rsidRDefault="004663F8" w:rsidP="004663F8">
      <w:pPr>
        <w:ind w:left="720" w:hanging="720"/>
        <w:jc w:val="both"/>
        <w:rPr>
          <w:rFonts w:cs="Arial"/>
          <w:sz w:val="16"/>
          <w:szCs w:val="16"/>
        </w:rPr>
      </w:pPr>
      <w:r>
        <w:rPr>
          <w:rFonts w:cs="Arial"/>
        </w:rPr>
        <w:t>6.5</w:t>
      </w:r>
      <w:r>
        <w:rPr>
          <w:rFonts w:cs="Arial"/>
        </w:rPr>
        <w:tab/>
        <w:t>Any formal investigation</w:t>
      </w:r>
      <w:r w:rsidRPr="00153924">
        <w:rPr>
          <w:rFonts w:cs="Arial"/>
        </w:rPr>
        <w:t xml:space="preserve"> will be conducted by an independent external adviser to be appointed by the</w:t>
      </w:r>
      <w:r>
        <w:rPr>
          <w:rFonts w:cs="Arial"/>
        </w:rPr>
        <w:t xml:space="preserve"> Chief Executive and Principal Registrar</w:t>
      </w:r>
      <w:r w:rsidRPr="00153924">
        <w:rPr>
          <w:rFonts w:cs="Arial"/>
        </w:rPr>
        <w:t xml:space="preserve"> </w:t>
      </w:r>
      <w:r>
        <w:rPr>
          <w:rFonts w:cs="Arial"/>
        </w:rPr>
        <w:t xml:space="preserve">at the direction of the </w:t>
      </w:r>
      <w:r w:rsidRPr="00153924">
        <w:rPr>
          <w:rFonts w:cs="Arial"/>
        </w:rPr>
        <w:t xml:space="preserve">Chief Justice or the senior </w:t>
      </w:r>
      <w:r>
        <w:rPr>
          <w:rFonts w:cs="Arial"/>
        </w:rPr>
        <w:t>p</w:t>
      </w:r>
      <w:r w:rsidRPr="00153924">
        <w:rPr>
          <w:rFonts w:cs="Arial"/>
        </w:rPr>
        <w:t>uisne Judge</w:t>
      </w:r>
      <w:r>
        <w:rPr>
          <w:rFonts w:cs="Arial"/>
        </w:rPr>
        <w:t xml:space="preserve">. In such circumstances, the Attorney-General of the Commonwealth will be notified of the appointment of the external adviser and of the outcome of the complaint process. </w:t>
      </w:r>
    </w:p>
    <w:p w:rsidR="004663F8" w:rsidRPr="00C56729" w:rsidRDefault="004663F8" w:rsidP="004663F8">
      <w:pPr>
        <w:ind w:left="720" w:hanging="720"/>
        <w:jc w:val="both"/>
        <w:rPr>
          <w:rFonts w:cs="Arial"/>
          <w:sz w:val="16"/>
          <w:szCs w:val="16"/>
        </w:rPr>
      </w:pPr>
    </w:p>
    <w:p w:rsidR="004663F8" w:rsidRPr="00625D91" w:rsidRDefault="004663F8" w:rsidP="004663F8">
      <w:pPr>
        <w:ind w:left="720" w:hanging="720"/>
        <w:jc w:val="both"/>
        <w:rPr>
          <w:rFonts w:cs="Arial"/>
          <w:sz w:val="16"/>
          <w:szCs w:val="16"/>
        </w:rPr>
      </w:pPr>
      <w:r>
        <w:rPr>
          <w:rFonts w:cs="Arial"/>
        </w:rPr>
        <w:t>6.6</w:t>
      </w:r>
      <w:r>
        <w:rPr>
          <w:rFonts w:cs="Arial"/>
        </w:rPr>
        <w:tab/>
      </w:r>
      <w:r w:rsidRPr="00590E38">
        <w:rPr>
          <w:rFonts w:cs="Arial"/>
        </w:rPr>
        <w:t>C</w:t>
      </w:r>
      <w:r>
        <w:rPr>
          <w:rFonts w:cs="Arial"/>
        </w:rPr>
        <w:t>oncerns and c</w:t>
      </w:r>
      <w:r w:rsidRPr="00590E38">
        <w:rPr>
          <w:rFonts w:cs="Arial"/>
        </w:rPr>
        <w:t>omplaints</w:t>
      </w:r>
      <w:r>
        <w:rPr>
          <w:rFonts w:cs="Arial"/>
        </w:rPr>
        <w:t>,</w:t>
      </w:r>
      <w:r w:rsidRPr="00590E38">
        <w:rPr>
          <w:rFonts w:cs="Arial"/>
        </w:rPr>
        <w:t xml:space="preserve"> and documentation generated in </w:t>
      </w:r>
      <w:r>
        <w:rPr>
          <w:rFonts w:cs="Arial"/>
        </w:rPr>
        <w:t>addressing</w:t>
      </w:r>
      <w:r w:rsidRPr="00590E38">
        <w:rPr>
          <w:rFonts w:cs="Arial"/>
        </w:rPr>
        <w:t xml:space="preserve"> </w:t>
      </w:r>
      <w:r>
        <w:rPr>
          <w:rFonts w:cs="Arial"/>
        </w:rPr>
        <w:t>concerns and</w:t>
      </w:r>
      <w:r w:rsidRPr="00590E38">
        <w:rPr>
          <w:rFonts w:cs="Arial"/>
        </w:rPr>
        <w:t xml:space="preserve"> complaint</w:t>
      </w:r>
      <w:r>
        <w:rPr>
          <w:rFonts w:cs="Arial"/>
        </w:rPr>
        <w:t>s,</w:t>
      </w:r>
      <w:r w:rsidRPr="00590E38">
        <w:rPr>
          <w:rFonts w:cs="Arial"/>
        </w:rPr>
        <w:t xml:space="preserve"> will be kept confidential to the extent possible. The extent to which </w:t>
      </w:r>
      <w:r>
        <w:rPr>
          <w:rFonts w:cs="Arial"/>
        </w:rPr>
        <w:t xml:space="preserve">the identity and personal circumstances of </w:t>
      </w:r>
      <w:r w:rsidRPr="00590E38">
        <w:rPr>
          <w:rFonts w:cs="Arial"/>
        </w:rPr>
        <w:t>the</w:t>
      </w:r>
      <w:r>
        <w:rPr>
          <w:rFonts w:cs="Arial"/>
        </w:rPr>
        <w:t xml:space="preserve"> person raising the concern or making the complaint </w:t>
      </w:r>
      <w:r w:rsidRPr="00590E38">
        <w:rPr>
          <w:rFonts w:cs="Arial"/>
        </w:rPr>
        <w:t xml:space="preserve">may be kept confidential </w:t>
      </w:r>
      <w:r>
        <w:rPr>
          <w:rFonts w:cs="Arial"/>
        </w:rPr>
        <w:t>(and, if the concern or complaint relates to inappropriate conduct directed to another person, t</w:t>
      </w:r>
      <w:r w:rsidRPr="00590E38">
        <w:rPr>
          <w:rFonts w:cs="Arial"/>
        </w:rPr>
        <w:t xml:space="preserve">he extent to which </w:t>
      </w:r>
      <w:r>
        <w:rPr>
          <w:rFonts w:cs="Arial"/>
        </w:rPr>
        <w:t>the identity and personal circumstances of</w:t>
      </w:r>
      <w:r w:rsidRPr="00590E38">
        <w:rPr>
          <w:rFonts w:cs="Arial"/>
        </w:rPr>
        <w:t xml:space="preserve"> th</w:t>
      </w:r>
      <w:r>
        <w:rPr>
          <w:rFonts w:cs="Arial"/>
        </w:rPr>
        <w:t>at other</w:t>
      </w:r>
      <w:r w:rsidRPr="00590E38">
        <w:rPr>
          <w:rFonts w:cs="Arial"/>
        </w:rPr>
        <w:t xml:space="preserve"> </w:t>
      </w:r>
      <w:r>
        <w:rPr>
          <w:rFonts w:cs="Arial"/>
        </w:rPr>
        <w:t xml:space="preserve">person </w:t>
      </w:r>
      <w:r w:rsidRPr="00590E38">
        <w:rPr>
          <w:rFonts w:cs="Arial"/>
        </w:rPr>
        <w:t>may be kept confidential</w:t>
      </w:r>
      <w:r>
        <w:rPr>
          <w:rFonts w:cs="Arial"/>
        </w:rPr>
        <w:t xml:space="preserve">) </w:t>
      </w:r>
      <w:r w:rsidRPr="00590E38">
        <w:rPr>
          <w:rFonts w:cs="Arial"/>
        </w:rPr>
        <w:t>will depend upon:</w:t>
      </w:r>
    </w:p>
    <w:p w:rsidR="004663F8" w:rsidRPr="00625D91" w:rsidRDefault="004663F8" w:rsidP="004663F8">
      <w:pPr>
        <w:ind w:left="1440" w:hanging="720"/>
        <w:jc w:val="both"/>
        <w:rPr>
          <w:rFonts w:cs="Arial"/>
          <w:sz w:val="16"/>
          <w:szCs w:val="16"/>
        </w:rPr>
      </w:pPr>
      <w:r w:rsidRPr="00590E38">
        <w:rPr>
          <w:rFonts w:cs="Arial"/>
        </w:rPr>
        <w:t>(a)</w:t>
      </w:r>
      <w:r>
        <w:rPr>
          <w:rFonts w:cs="Arial"/>
        </w:rPr>
        <w:tab/>
      </w:r>
      <w:r w:rsidRPr="00590E38">
        <w:rPr>
          <w:rFonts w:cs="Arial"/>
        </w:rPr>
        <w:t>the need to investigate</w:t>
      </w:r>
      <w:r>
        <w:rPr>
          <w:rFonts w:cs="Arial"/>
        </w:rPr>
        <w:t>;</w:t>
      </w:r>
    </w:p>
    <w:p w:rsidR="004663F8" w:rsidRPr="00625D91" w:rsidRDefault="004663F8" w:rsidP="004663F8">
      <w:pPr>
        <w:ind w:left="1440" w:hanging="720"/>
        <w:jc w:val="both"/>
        <w:rPr>
          <w:rFonts w:cs="Arial"/>
          <w:sz w:val="16"/>
          <w:szCs w:val="16"/>
        </w:rPr>
      </w:pPr>
      <w:r w:rsidRPr="00590E38">
        <w:rPr>
          <w:rFonts w:cs="Arial"/>
        </w:rPr>
        <w:t>(b)</w:t>
      </w:r>
      <w:r>
        <w:rPr>
          <w:rFonts w:cs="Arial"/>
        </w:rPr>
        <w:tab/>
      </w:r>
      <w:r w:rsidRPr="00590E38">
        <w:rPr>
          <w:rFonts w:cs="Arial"/>
        </w:rPr>
        <w:t>the need to afford procedural fairness;</w:t>
      </w:r>
    </w:p>
    <w:p w:rsidR="004663F8" w:rsidRPr="00625D91" w:rsidRDefault="004663F8" w:rsidP="004663F8">
      <w:pPr>
        <w:ind w:left="1440" w:hanging="720"/>
        <w:jc w:val="both"/>
        <w:rPr>
          <w:rFonts w:cs="Arial"/>
          <w:sz w:val="16"/>
          <w:szCs w:val="16"/>
        </w:rPr>
      </w:pPr>
      <w:r w:rsidRPr="00590E38">
        <w:rPr>
          <w:rFonts w:cs="Arial"/>
        </w:rPr>
        <w:t>(c)</w:t>
      </w:r>
      <w:r>
        <w:rPr>
          <w:rFonts w:cs="Arial"/>
        </w:rPr>
        <w:tab/>
      </w:r>
      <w:r w:rsidRPr="00590E38">
        <w:rPr>
          <w:rFonts w:cs="Arial"/>
        </w:rPr>
        <w:t>the wishes</w:t>
      </w:r>
      <w:r>
        <w:rPr>
          <w:rFonts w:cs="Arial"/>
        </w:rPr>
        <w:t xml:space="preserve"> of that person; </w:t>
      </w:r>
      <w:r w:rsidRPr="00590E38">
        <w:rPr>
          <w:rFonts w:cs="Arial"/>
        </w:rPr>
        <w:t>and</w:t>
      </w:r>
    </w:p>
    <w:p w:rsidR="004663F8" w:rsidRPr="001E7DC9" w:rsidRDefault="004663F8" w:rsidP="004663F8">
      <w:pPr>
        <w:ind w:left="1440" w:hanging="720"/>
        <w:jc w:val="both"/>
        <w:rPr>
          <w:rFonts w:cs="Arial"/>
          <w:sz w:val="16"/>
          <w:szCs w:val="16"/>
        </w:rPr>
      </w:pPr>
      <w:r w:rsidRPr="00590E38">
        <w:rPr>
          <w:rFonts w:cs="Arial"/>
        </w:rPr>
        <w:t>(d)</w:t>
      </w:r>
      <w:r>
        <w:rPr>
          <w:rFonts w:cs="Arial"/>
        </w:rPr>
        <w:tab/>
      </w:r>
      <w:r w:rsidRPr="00590E38">
        <w:rPr>
          <w:rFonts w:cs="Arial"/>
        </w:rPr>
        <w:t>any statutory obligation to report particular conduct.</w:t>
      </w:r>
    </w:p>
    <w:p w:rsidR="004663F8" w:rsidRPr="00C56729" w:rsidRDefault="004663F8" w:rsidP="004663F8">
      <w:pPr>
        <w:ind w:left="720" w:hanging="720"/>
        <w:jc w:val="both"/>
        <w:rPr>
          <w:rFonts w:cs="Arial"/>
          <w:sz w:val="16"/>
          <w:szCs w:val="16"/>
        </w:rPr>
      </w:pPr>
    </w:p>
    <w:p w:rsidR="004663F8" w:rsidRDefault="004663F8" w:rsidP="004663F8">
      <w:pPr>
        <w:keepNext/>
        <w:ind w:left="720" w:hanging="720"/>
        <w:jc w:val="both"/>
        <w:rPr>
          <w:rFonts w:cs="Arial"/>
          <w:b/>
          <w:bCs/>
        </w:rPr>
      </w:pPr>
      <w:r w:rsidRPr="00C26252">
        <w:rPr>
          <w:rFonts w:cs="Arial"/>
          <w:b/>
          <w:bCs/>
        </w:rPr>
        <w:t>7.</w:t>
      </w:r>
      <w:r w:rsidRPr="00C26252">
        <w:rPr>
          <w:rFonts w:cs="Arial"/>
          <w:b/>
          <w:bCs/>
        </w:rPr>
        <w:tab/>
        <w:t>Publication of Policy</w:t>
      </w:r>
    </w:p>
    <w:p w:rsidR="004663F8" w:rsidRPr="001E7DC9" w:rsidRDefault="004663F8" w:rsidP="004663F8">
      <w:pPr>
        <w:ind w:left="720" w:hanging="720"/>
        <w:jc w:val="both"/>
        <w:rPr>
          <w:rFonts w:cs="Arial"/>
          <w:sz w:val="16"/>
          <w:szCs w:val="16"/>
        </w:rPr>
      </w:pPr>
      <w:r>
        <w:rPr>
          <w:rFonts w:cs="Arial"/>
        </w:rPr>
        <w:t>7.1</w:t>
      </w:r>
      <w:r>
        <w:rPr>
          <w:rFonts w:cs="Arial"/>
        </w:rPr>
        <w:tab/>
        <w:t>This Policy will be published on the Court website and will be drawn to the attention of all new employees of the Court at the time of induction.</w:t>
      </w:r>
    </w:p>
    <w:p w:rsidR="003E7772" w:rsidRDefault="004663F8" w:rsidP="004663F8">
      <w:pPr>
        <w:ind w:left="720" w:hanging="720"/>
        <w:jc w:val="both"/>
        <w:rPr>
          <w:rFonts w:cs="Arial"/>
        </w:rPr>
      </w:pPr>
      <w:r>
        <w:rPr>
          <w:rFonts w:cs="Arial"/>
        </w:rPr>
        <w:t xml:space="preserve">7.2 </w:t>
      </w:r>
      <w:r>
        <w:rPr>
          <w:rFonts w:cs="Arial"/>
        </w:rPr>
        <w:tab/>
        <w:t xml:space="preserve">The Chief Justice and the senior puisne Justice will participate in the induction of all new associates to ensure that they understand this Policy and the Justices' commitment to it. </w:t>
      </w:r>
    </w:p>
    <w:p w:rsidR="00625D91" w:rsidRDefault="003E7772" w:rsidP="003E7772">
      <w:pPr>
        <w:spacing w:after="0" w:line="240" w:lineRule="auto"/>
        <w:rPr>
          <w:rFonts w:cs="Arial"/>
        </w:rPr>
      </w:pPr>
      <w:r>
        <w:rPr>
          <w:rFonts w:cs="Arial"/>
        </w:rPr>
        <w:br w:type="page"/>
      </w:r>
    </w:p>
    <w:p w:rsidR="004663F8" w:rsidRPr="00C56729" w:rsidRDefault="004663F8" w:rsidP="004663F8">
      <w:pPr>
        <w:ind w:left="720" w:hanging="720"/>
        <w:jc w:val="both"/>
        <w:rPr>
          <w:rFonts w:cs="Arial"/>
          <w:sz w:val="16"/>
          <w:szCs w:val="16"/>
        </w:rPr>
      </w:pPr>
    </w:p>
    <w:p w:rsidR="004663F8" w:rsidRDefault="004663F8" w:rsidP="004663F8">
      <w:pPr>
        <w:ind w:left="720" w:hanging="720"/>
        <w:jc w:val="both"/>
        <w:rPr>
          <w:rFonts w:cs="Arial"/>
          <w:b/>
          <w:bCs/>
        </w:rPr>
      </w:pPr>
      <w:r w:rsidRPr="00A833D0">
        <w:rPr>
          <w:rFonts w:cs="Arial"/>
          <w:b/>
          <w:bCs/>
        </w:rPr>
        <w:t>8.</w:t>
      </w:r>
      <w:r w:rsidRPr="00A833D0">
        <w:rPr>
          <w:rFonts w:cs="Arial"/>
          <w:b/>
          <w:bCs/>
        </w:rPr>
        <w:tab/>
        <w:t>Review of Policy</w:t>
      </w:r>
    </w:p>
    <w:p w:rsidR="004663F8" w:rsidRPr="00C56729" w:rsidRDefault="004663F8" w:rsidP="004663F8">
      <w:pPr>
        <w:ind w:left="720" w:hanging="720"/>
        <w:jc w:val="both"/>
        <w:rPr>
          <w:rFonts w:cs="Arial"/>
          <w:b/>
          <w:bCs/>
          <w:sz w:val="16"/>
          <w:szCs w:val="16"/>
        </w:rPr>
      </w:pPr>
    </w:p>
    <w:p w:rsidR="004663F8" w:rsidRPr="00A833D0" w:rsidRDefault="004663F8" w:rsidP="004663F8">
      <w:pPr>
        <w:ind w:left="720" w:hanging="720"/>
        <w:jc w:val="both"/>
        <w:rPr>
          <w:rFonts w:cs="Arial"/>
        </w:rPr>
      </w:pPr>
      <w:r>
        <w:rPr>
          <w:rFonts w:cs="Arial"/>
        </w:rPr>
        <w:t>8.1</w:t>
      </w:r>
      <w:r>
        <w:rPr>
          <w:rFonts w:cs="Arial"/>
        </w:rPr>
        <w:tab/>
        <w:t>At least once each calendar year, a committee of Justices in consultation with the</w:t>
      </w:r>
      <w:r w:rsidRPr="000032C5">
        <w:rPr>
          <w:rFonts w:cs="Arial"/>
        </w:rPr>
        <w:t xml:space="preserve"> </w:t>
      </w:r>
      <w:r>
        <w:rPr>
          <w:rFonts w:cs="Arial"/>
        </w:rPr>
        <w:t>Chief Executive and Principal Registrar and the Senior Registrar will review this Policy with a view to ensuring that it reflects current best practice. The review will be informed by an annual anonymous survey of officers, employees, contractors and service providers of the Court concerning the operation of the policy to be designed and administered by the Chief Executive and Principal Registrar with the benefit of external human resources advice.</w:t>
      </w:r>
    </w:p>
    <w:p w:rsidR="004663F8" w:rsidRPr="00C56729" w:rsidRDefault="004663F8" w:rsidP="004663F8">
      <w:pPr>
        <w:ind w:left="720" w:hanging="720"/>
        <w:jc w:val="both"/>
        <w:rPr>
          <w:rFonts w:cs="Arial"/>
          <w:sz w:val="16"/>
          <w:szCs w:val="16"/>
        </w:rPr>
      </w:pPr>
    </w:p>
    <w:p w:rsidR="004663F8" w:rsidRDefault="004663F8" w:rsidP="004663F8">
      <w:pPr>
        <w:ind w:left="720" w:hanging="720"/>
        <w:jc w:val="both"/>
        <w:rPr>
          <w:rFonts w:cs="Arial"/>
          <w:b/>
          <w:bCs/>
        </w:rPr>
      </w:pPr>
      <w:r>
        <w:rPr>
          <w:rFonts w:cs="Arial"/>
          <w:b/>
          <w:bCs/>
        </w:rPr>
        <w:t>9.</w:t>
      </w:r>
      <w:r>
        <w:rPr>
          <w:rFonts w:cs="Arial"/>
          <w:b/>
          <w:bCs/>
        </w:rPr>
        <w:tab/>
        <w:t>Recommitment to Policy</w:t>
      </w:r>
    </w:p>
    <w:p w:rsidR="004663F8" w:rsidRDefault="004663F8" w:rsidP="004663F8">
      <w:pPr>
        <w:ind w:left="720" w:hanging="720"/>
        <w:jc w:val="both"/>
        <w:rPr>
          <w:rFonts w:cs="Arial"/>
          <w:b/>
          <w:bCs/>
        </w:rPr>
      </w:pPr>
    </w:p>
    <w:p w:rsidR="004663F8" w:rsidRPr="0005491D" w:rsidRDefault="004663F8" w:rsidP="004663F8">
      <w:pPr>
        <w:ind w:left="720" w:hanging="720"/>
        <w:jc w:val="both"/>
        <w:rPr>
          <w:rFonts w:cs="Arial"/>
        </w:rPr>
      </w:pPr>
      <w:r>
        <w:rPr>
          <w:rFonts w:cs="Arial"/>
        </w:rPr>
        <w:t>9.1</w:t>
      </w:r>
      <w:r>
        <w:rPr>
          <w:rFonts w:cs="Arial"/>
        </w:rPr>
        <w:tab/>
        <w:t>At the first Court business meeting after the appointment of each new Justice, and otherwise at a Court business meeting at least once each calendar year, the Justices will signify their individual and collective recommitment to adherence to this Policy irrespective of whether it has been revised as a result of a review.</w:t>
      </w:r>
    </w:p>
    <w:p w:rsidR="004663F8" w:rsidRPr="00C56729" w:rsidRDefault="004663F8" w:rsidP="004663F8">
      <w:pPr>
        <w:ind w:left="720" w:hanging="720"/>
        <w:jc w:val="both"/>
        <w:rPr>
          <w:rFonts w:cs="Arial"/>
          <w:sz w:val="16"/>
          <w:szCs w:val="16"/>
        </w:rPr>
      </w:pPr>
    </w:p>
    <w:p w:rsidR="004663F8" w:rsidRDefault="004663F8" w:rsidP="004663F8">
      <w:pPr>
        <w:ind w:left="720" w:hanging="720"/>
        <w:jc w:val="both"/>
        <w:rPr>
          <w:rFonts w:cs="Arial"/>
        </w:rPr>
      </w:pPr>
      <w:r>
        <w:rPr>
          <w:rFonts w:cs="Arial"/>
        </w:rPr>
        <w:t>Dated</w:t>
      </w:r>
      <w:r>
        <w:rPr>
          <w:rFonts w:cs="Arial"/>
        </w:rPr>
        <w:tab/>
      </w:r>
      <w:r>
        <w:rPr>
          <w:rFonts w:cs="Arial"/>
        </w:rPr>
        <w:tab/>
        <w:t>March 2022</w:t>
      </w:r>
    </w:p>
    <w:p w:rsidR="004663F8" w:rsidRDefault="004663F8" w:rsidP="004663F8">
      <w:pPr>
        <w:ind w:left="720" w:hanging="720"/>
        <w:jc w:val="both"/>
        <w:rPr>
          <w:rFonts w:cs="Arial"/>
        </w:rPr>
      </w:pPr>
    </w:p>
    <w:p w:rsidR="004663F8" w:rsidRDefault="004663F8" w:rsidP="004663F8">
      <w:pPr>
        <w:ind w:left="720" w:hanging="720"/>
        <w:jc w:val="right"/>
        <w:rPr>
          <w:rFonts w:cs="Arial"/>
        </w:rPr>
      </w:pPr>
      <w:r>
        <w:rPr>
          <w:rFonts w:cs="Arial"/>
        </w:rPr>
        <w:t xml:space="preserve">Chief Justice Kiefel </w:t>
      </w:r>
    </w:p>
    <w:p w:rsidR="004663F8" w:rsidRDefault="004663F8" w:rsidP="003E7772">
      <w:pPr>
        <w:spacing w:before="240"/>
        <w:ind w:left="720" w:hanging="720"/>
        <w:jc w:val="right"/>
        <w:rPr>
          <w:rFonts w:cs="Arial"/>
        </w:rPr>
      </w:pPr>
    </w:p>
    <w:p w:rsidR="004663F8" w:rsidRDefault="004663F8" w:rsidP="004663F8">
      <w:pPr>
        <w:ind w:left="720" w:hanging="720"/>
        <w:jc w:val="right"/>
        <w:rPr>
          <w:rFonts w:cs="Arial"/>
        </w:rPr>
      </w:pPr>
      <w:r>
        <w:rPr>
          <w:rFonts w:cs="Arial"/>
        </w:rPr>
        <w:t>Justice Gageler</w:t>
      </w:r>
    </w:p>
    <w:p w:rsidR="004663F8" w:rsidRDefault="004663F8" w:rsidP="003E7772">
      <w:pPr>
        <w:spacing w:before="240"/>
        <w:ind w:left="720" w:hanging="720"/>
        <w:jc w:val="right"/>
        <w:rPr>
          <w:rFonts w:cs="Arial"/>
        </w:rPr>
      </w:pPr>
    </w:p>
    <w:p w:rsidR="004663F8" w:rsidRDefault="004663F8" w:rsidP="004663F8">
      <w:pPr>
        <w:ind w:left="720" w:hanging="720"/>
        <w:jc w:val="right"/>
        <w:rPr>
          <w:rFonts w:cs="Arial"/>
        </w:rPr>
      </w:pPr>
      <w:r>
        <w:rPr>
          <w:rFonts w:cs="Arial"/>
        </w:rPr>
        <w:t>Justice Keane</w:t>
      </w:r>
    </w:p>
    <w:p w:rsidR="004663F8" w:rsidRDefault="004663F8" w:rsidP="003E7772">
      <w:pPr>
        <w:spacing w:before="240"/>
        <w:ind w:left="720" w:hanging="720"/>
        <w:jc w:val="right"/>
        <w:rPr>
          <w:rFonts w:cs="Arial"/>
        </w:rPr>
      </w:pPr>
    </w:p>
    <w:p w:rsidR="004663F8" w:rsidRDefault="004663F8" w:rsidP="004663F8">
      <w:pPr>
        <w:ind w:left="720" w:hanging="720"/>
        <w:jc w:val="right"/>
        <w:rPr>
          <w:rFonts w:cs="Arial"/>
        </w:rPr>
      </w:pPr>
      <w:r>
        <w:rPr>
          <w:rFonts w:cs="Arial"/>
        </w:rPr>
        <w:t>Justice Gordon</w:t>
      </w:r>
    </w:p>
    <w:p w:rsidR="004663F8" w:rsidRDefault="004663F8" w:rsidP="003E7772">
      <w:pPr>
        <w:spacing w:before="240"/>
        <w:ind w:left="720" w:hanging="720"/>
        <w:jc w:val="right"/>
        <w:rPr>
          <w:rFonts w:cs="Arial"/>
        </w:rPr>
      </w:pPr>
    </w:p>
    <w:p w:rsidR="004663F8" w:rsidRDefault="004663F8" w:rsidP="004663F8">
      <w:pPr>
        <w:ind w:left="720" w:hanging="720"/>
        <w:jc w:val="right"/>
        <w:rPr>
          <w:rFonts w:cs="Arial"/>
        </w:rPr>
      </w:pPr>
      <w:r>
        <w:rPr>
          <w:rFonts w:cs="Arial"/>
        </w:rPr>
        <w:t>Justice Edelman</w:t>
      </w:r>
    </w:p>
    <w:p w:rsidR="004663F8" w:rsidRDefault="004663F8" w:rsidP="004663F8">
      <w:pPr>
        <w:ind w:left="720" w:hanging="720"/>
        <w:jc w:val="right"/>
        <w:rPr>
          <w:rFonts w:cs="Arial"/>
        </w:rPr>
      </w:pPr>
    </w:p>
    <w:p w:rsidR="004663F8" w:rsidRDefault="004663F8" w:rsidP="004663F8">
      <w:pPr>
        <w:ind w:left="720" w:hanging="720"/>
        <w:jc w:val="right"/>
        <w:rPr>
          <w:rFonts w:cs="Arial"/>
        </w:rPr>
      </w:pPr>
      <w:r>
        <w:rPr>
          <w:rFonts w:cs="Arial"/>
        </w:rPr>
        <w:t>Justice Steward</w:t>
      </w:r>
    </w:p>
    <w:p w:rsidR="00135052" w:rsidRDefault="00135052" w:rsidP="003E7772">
      <w:pPr>
        <w:spacing w:before="240"/>
        <w:ind w:left="720" w:hanging="720"/>
        <w:jc w:val="right"/>
        <w:rPr>
          <w:rFonts w:cs="Arial"/>
        </w:rPr>
      </w:pPr>
    </w:p>
    <w:p w:rsidR="004663F8" w:rsidRDefault="004663F8" w:rsidP="004663F8">
      <w:pPr>
        <w:ind w:left="720" w:hanging="720"/>
        <w:jc w:val="right"/>
        <w:rPr>
          <w:rFonts w:cs="Arial"/>
        </w:rPr>
      </w:pPr>
      <w:r>
        <w:rPr>
          <w:rFonts w:cs="Arial"/>
        </w:rPr>
        <w:t>Justice Gleeson</w:t>
      </w:r>
    </w:p>
    <w:sectPr w:rsidR="004663F8" w:rsidSect="003E7772">
      <w:headerReference w:type="first" r:id="rId7"/>
      <w:pgSz w:w="11906" w:h="16838"/>
      <w:pgMar w:top="156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43C" w:rsidRDefault="0019243C" w:rsidP="006D3C3D">
      <w:pPr>
        <w:spacing w:after="0" w:line="240" w:lineRule="auto"/>
      </w:pPr>
      <w:r>
        <w:separator/>
      </w:r>
    </w:p>
  </w:endnote>
  <w:endnote w:type="continuationSeparator" w:id="0">
    <w:p w:rsidR="0019243C" w:rsidRDefault="0019243C" w:rsidP="006D3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43C" w:rsidRDefault="0019243C" w:rsidP="006D3C3D">
      <w:pPr>
        <w:spacing w:after="0" w:line="240" w:lineRule="auto"/>
      </w:pPr>
      <w:r>
        <w:separator/>
      </w:r>
    </w:p>
  </w:footnote>
  <w:footnote w:type="continuationSeparator" w:id="0">
    <w:p w:rsidR="0019243C" w:rsidRDefault="0019243C" w:rsidP="006D3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C3D" w:rsidRDefault="00D91C24" w:rsidP="006D3C3D">
    <w:pPr>
      <w:pStyle w:val="Header"/>
      <w:spacing w:after="0"/>
      <w:jc w:val="center"/>
      <w:rPr>
        <w:rFonts w:cs="Calibri"/>
        <w:lang w:val="en"/>
      </w:rPr>
    </w:pPr>
    <w:r>
      <w:rPr>
        <w:rFonts w:cs="Calibri"/>
        <w:noProof/>
        <w:lang w:val="en"/>
      </w:rPr>
      <w:drawing>
        <wp:inline distT="0" distB="0" distL="0" distR="0">
          <wp:extent cx="914400" cy="63817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38175"/>
                  </a:xfrm>
                  <a:prstGeom prst="rect">
                    <a:avLst/>
                  </a:prstGeom>
                  <a:noFill/>
                  <a:ln>
                    <a:noFill/>
                  </a:ln>
                </pic:spPr>
              </pic:pic>
            </a:graphicData>
          </a:graphic>
        </wp:inline>
      </w:drawing>
    </w:r>
  </w:p>
  <w:p w:rsidR="006D3C3D" w:rsidRDefault="006D3C3D" w:rsidP="006D3C3D">
    <w:pPr>
      <w:pStyle w:val="Header"/>
      <w:spacing w:after="0"/>
      <w:jc w:val="center"/>
      <w:rPr>
        <w:rFonts w:cs="Calibri"/>
        <w:lang w:val="en"/>
      </w:rPr>
    </w:pPr>
  </w:p>
  <w:p w:rsidR="006D3C3D" w:rsidRDefault="006D3C3D" w:rsidP="006D3C3D">
    <w:pPr>
      <w:autoSpaceDE w:val="0"/>
      <w:autoSpaceDN w:val="0"/>
      <w:adjustRightInd w:val="0"/>
      <w:spacing w:after="0" w:line="360" w:lineRule="auto"/>
      <w:jc w:val="center"/>
    </w:pPr>
    <w:r>
      <w:rPr>
        <w:rFonts w:cs="Arial"/>
        <w:b/>
        <w:bCs/>
        <w:spacing w:val="20"/>
        <w:lang w:val="en"/>
      </w:rPr>
      <w:t>HIGH COURT OF AUSTRALIA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1467C"/>
    <w:multiLevelType w:val="hybridMultilevel"/>
    <w:tmpl w:val="25DE2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CE18D2"/>
    <w:multiLevelType w:val="hybridMultilevel"/>
    <w:tmpl w:val="A7FCDB40"/>
    <w:lvl w:ilvl="0" w:tplc="73C0EFAC">
      <w:start w:val="1"/>
      <w:numFmt w:val="decimal"/>
      <w:pStyle w:val="AgendaItemBL1"/>
      <w:lvlText w:val="%1."/>
      <w:lvlJc w:val="left"/>
      <w:pPr>
        <w:ind w:left="360" w:hanging="360"/>
      </w:pPr>
      <w:rPr>
        <w:rFonts w:ascii="Arial" w:hAnsi="Arial" w:hint="default"/>
        <w:b/>
        <w:i w:val="0"/>
        <w:sz w:val="24"/>
      </w:rPr>
    </w:lvl>
    <w:lvl w:ilvl="1" w:tplc="0C090019" w:tentative="1">
      <w:start w:val="1"/>
      <w:numFmt w:val="lowerLetter"/>
      <w:lvlText w:val="%2."/>
      <w:lvlJc w:val="left"/>
      <w:pPr>
        <w:ind w:left="1967" w:hanging="360"/>
      </w:pPr>
    </w:lvl>
    <w:lvl w:ilvl="2" w:tplc="0C09001B" w:tentative="1">
      <w:start w:val="1"/>
      <w:numFmt w:val="lowerRoman"/>
      <w:lvlText w:val="%3."/>
      <w:lvlJc w:val="right"/>
      <w:pPr>
        <w:ind w:left="2687" w:hanging="180"/>
      </w:pPr>
    </w:lvl>
    <w:lvl w:ilvl="3" w:tplc="0C09000F" w:tentative="1">
      <w:start w:val="1"/>
      <w:numFmt w:val="decimal"/>
      <w:lvlText w:val="%4."/>
      <w:lvlJc w:val="left"/>
      <w:pPr>
        <w:ind w:left="3407" w:hanging="360"/>
      </w:pPr>
    </w:lvl>
    <w:lvl w:ilvl="4" w:tplc="0C090019" w:tentative="1">
      <w:start w:val="1"/>
      <w:numFmt w:val="lowerLetter"/>
      <w:lvlText w:val="%5."/>
      <w:lvlJc w:val="left"/>
      <w:pPr>
        <w:ind w:left="4127" w:hanging="360"/>
      </w:pPr>
    </w:lvl>
    <w:lvl w:ilvl="5" w:tplc="0C09001B" w:tentative="1">
      <w:start w:val="1"/>
      <w:numFmt w:val="lowerRoman"/>
      <w:lvlText w:val="%6."/>
      <w:lvlJc w:val="right"/>
      <w:pPr>
        <w:ind w:left="4847" w:hanging="180"/>
      </w:pPr>
    </w:lvl>
    <w:lvl w:ilvl="6" w:tplc="0C09000F" w:tentative="1">
      <w:start w:val="1"/>
      <w:numFmt w:val="decimal"/>
      <w:lvlText w:val="%7."/>
      <w:lvlJc w:val="left"/>
      <w:pPr>
        <w:ind w:left="5567" w:hanging="360"/>
      </w:pPr>
    </w:lvl>
    <w:lvl w:ilvl="7" w:tplc="0C090019" w:tentative="1">
      <w:start w:val="1"/>
      <w:numFmt w:val="lowerLetter"/>
      <w:lvlText w:val="%8."/>
      <w:lvlJc w:val="left"/>
      <w:pPr>
        <w:ind w:left="6287" w:hanging="360"/>
      </w:pPr>
    </w:lvl>
    <w:lvl w:ilvl="8" w:tplc="0C09001B" w:tentative="1">
      <w:start w:val="1"/>
      <w:numFmt w:val="lowerRoman"/>
      <w:lvlText w:val="%9."/>
      <w:lvlJc w:val="right"/>
      <w:pPr>
        <w:ind w:left="7007" w:hanging="180"/>
      </w:pPr>
    </w:lvl>
  </w:abstractNum>
  <w:abstractNum w:abstractNumId="2" w15:restartNumberingAfterBreak="0">
    <w:nsid w:val="17DB74D1"/>
    <w:multiLevelType w:val="hybridMultilevel"/>
    <w:tmpl w:val="606C943A"/>
    <w:lvl w:ilvl="0" w:tplc="F2A2FBE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25E449C4"/>
    <w:multiLevelType w:val="hybridMultilevel"/>
    <w:tmpl w:val="47B0A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A67333"/>
    <w:multiLevelType w:val="hybridMultilevel"/>
    <w:tmpl w:val="B66E1E8C"/>
    <w:lvl w:ilvl="0" w:tplc="F2A2FBE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3E7E280E"/>
    <w:multiLevelType w:val="hybridMultilevel"/>
    <w:tmpl w:val="747ADD22"/>
    <w:lvl w:ilvl="0" w:tplc="5AC815FA">
      <w:start w:val="1"/>
      <w:numFmt w:val="decimal"/>
      <w:pStyle w:val="AgendaItemL1"/>
      <w:lvlText w:val="%1."/>
      <w:lvlJc w:val="left"/>
      <w:pPr>
        <w:ind w:left="717" w:hanging="360"/>
      </w:pPr>
      <w:rPr>
        <w:rFonts w:ascii="Arial" w:hAnsi="Arial" w:hint="default"/>
        <w:b/>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9E11DFF"/>
    <w:multiLevelType w:val="hybridMultilevel"/>
    <w:tmpl w:val="E0A4B406"/>
    <w:lvl w:ilvl="0" w:tplc="6D04C39C">
      <w:start w:val="1"/>
      <w:numFmt w:val="lowerLetter"/>
      <w:pStyle w:val="AgendaItemL2"/>
      <w:lvlText w:val="%1)"/>
      <w:lvlJc w:val="left"/>
      <w:pPr>
        <w:ind w:left="1440" w:hanging="360"/>
      </w:pPr>
      <w:rPr>
        <w:rFonts w:hint="default"/>
        <w:b w:val="0"/>
        <w:i w:val="0"/>
        <w:sz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6E0035D3"/>
    <w:multiLevelType w:val="hybridMultilevel"/>
    <w:tmpl w:val="45AAE0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7AA6735F"/>
    <w:multiLevelType w:val="hybridMultilevel"/>
    <w:tmpl w:val="8BA6D570"/>
    <w:lvl w:ilvl="0" w:tplc="F2A2FBE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7FAB15D8"/>
    <w:multiLevelType w:val="multilevel"/>
    <w:tmpl w:val="A9C4650E"/>
    <w:lvl w:ilvl="0">
      <w:start w:val="1"/>
      <w:numFmt w:val="lowerLetter"/>
      <w:pStyle w:val="AgendaItemBL2"/>
      <w:lvlText w:val="%1)"/>
      <w:lvlJc w:val="left"/>
      <w:pPr>
        <w:ind w:left="786" w:hanging="360"/>
      </w:pPr>
      <w:rPr>
        <w:i w:val="0"/>
        <w:sz w:val="24"/>
        <w:szCs w:val="24"/>
      </w:r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num w:numId="1">
    <w:abstractNumId w:val="5"/>
  </w:num>
  <w:num w:numId="2">
    <w:abstractNumId w:val="6"/>
  </w:num>
  <w:num w:numId="3">
    <w:abstractNumId w:val="9"/>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
  </w:num>
  <w:num w:numId="17">
    <w:abstractNumId w:val="9"/>
  </w:num>
  <w:num w:numId="18">
    <w:abstractNumId w:val="9"/>
  </w:num>
  <w:num w:numId="19">
    <w:abstractNumId w:val="9"/>
  </w:num>
  <w:num w:numId="20">
    <w:abstractNumId w:val="9"/>
  </w:num>
  <w:num w:numId="21">
    <w:abstractNumId w:val="9"/>
  </w:num>
  <w:num w:numId="22">
    <w:abstractNumId w:val="0"/>
  </w:num>
  <w:num w:numId="23">
    <w:abstractNumId w:val="9"/>
  </w:num>
  <w:num w:numId="24">
    <w:abstractNumId w:val="2"/>
  </w:num>
  <w:num w:numId="25">
    <w:abstractNumId w:val="2"/>
  </w:num>
  <w:num w:numId="26">
    <w:abstractNumId w:val="8"/>
  </w:num>
  <w:num w:numId="27">
    <w:abstractNumId w:val="4"/>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D65"/>
    <w:rsid w:val="00002F4C"/>
    <w:rsid w:val="00013400"/>
    <w:rsid w:val="00022C93"/>
    <w:rsid w:val="000346F4"/>
    <w:rsid w:val="0003683F"/>
    <w:rsid w:val="000449C9"/>
    <w:rsid w:val="00046760"/>
    <w:rsid w:val="00051960"/>
    <w:rsid w:val="00053A16"/>
    <w:rsid w:val="0006194E"/>
    <w:rsid w:val="0007768D"/>
    <w:rsid w:val="00083779"/>
    <w:rsid w:val="00086291"/>
    <w:rsid w:val="00087F6C"/>
    <w:rsid w:val="00090010"/>
    <w:rsid w:val="00095944"/>
    <w:rsid w:val="000A1C93"/>
    <w:rsid w:val="000D51FC"/>
    <w:rsid w:val="000E232E"/>
    <w:rsid w:val="000E3034"/>
    <w:rsid w:val="000E552B"/>
    <w:rsid w:val="000F0F3A"/>
    <w:rsid w:val="000F2F59"/>
    <w:rsid w:val="000F4066"/>
    <w:rsid w:val="00107302"/>
    <w:rsid w:val="001240A2"/>
    <w:rsid w:val="00130B98"/>
    <w:rsid w:val="00134814"/>
    <w:rsid w:val="00135052"/>
    <w:rsid w:val="001414F2"/>
    <w:rsid w:val="00152095"/>
    <w:rsid w:val="0016167D"/>
    <w:rsid w:val="00171AD3"/>
    <w:rsid w:val="00171E38"/>
    <w:rsid w:val="0018015D"/>
    <w:rsid w:val="00182783"/>
    <w:rsid w:val="00185019"/>
    <w:rsid w:val="00187291"/>
    <w:rsid w:val="00187384"/>
    <w:rsid w:val="00187557"/>
    <w:rsid w:val="0019243C"/>
    <w:rsid w:val="001A0854"/>
    <w:rsid w:val="001C5838"/>
    <w:rsid w:val="001D04A9"/>
    <w:rsid w:val="001E7DC9"/>
    <w:rsid w:val="002028F5"/>
    <w:rsid w:val="0020575A"/>
    <w:rsid w:val="00213706"/>
    <w:rsid w:val="00220119"/>
    <w:rsid w:val="0022542B"/>
    <w:rsid w:val="00226CFB"/>
    <w:rsid w:val="00233E01"/>
    <w:rsid w:val="0024158E"/>
    <w:rsid w:val="002455B2"/>
    <w:rsid w:val="00251006"/>
    <w:rsid w:val="00271424"/>
    <w:rsid w:val="00272130"/>
    <w:rsid w:val="00273730"/>
    <w:rsid w:val="00275FD2"/>
    <w:rsid w:val="00297005"/>
    <w:rsid w:val="0029753E"/>
    <w:rsid w:val="002B4CE6"/>
    <w:rsid w:val="002C6E08"/>
    <w:rsid w:val="002D02D6"/>
    <w:rsid w:val="002E4D1E"/>
    <w:rsid w:val="002F2483"/>
    <w:rsid w:val="002F3DB5"/>
    <w:rsid w:val="002F4546"/>
    <w:rsid w:val="00306DCB"/>
    <w:rsid w:val="00320341"/>
    <w:rsid w:val="0033006B"/>
    <w:rsid w:val="00331EE4"/>
    <w:rsid w:val="00347A9E"/>
    <w:rsid w:val="003543A7"/>
    <w:rsid w:val="00357C44"/>
    <w:rsid w:val="00361497"/>
    <w:rsid w:val="00366631"/>
    <w:rsid w:val="00372E09"/>
    <w:rsid w:val="003743F8"/>
    <w:rsid w:val="0038692E"/>
    <w:rsid w:val="00395211"/>
    <w:rsid w:val="003A12A4"/>
    <w:rsid w:val="003A2F52"/>
    <w:rsid w:val="003A5106"/>
    <w:rsid w:val="003B1CE0"/>
    <w:rsid w:val="003B3AD4"/>
    <w:rsid w:val="003D0ABE"/>
    <w:rsid w:val="003D50CF"/>
    <w:rsid w:val="003E235D"/>
    <w:rsid w:val="003E7772"/>
    <w:rsid w:val="003F5D9E"/>
    <w:rsid w:val="003F630E"/>
    <w:rsid w:val="00400DDF"/>
    <w:rsid w:val="004050B3"/>
    <w:rsid w:val="004113CD"/>
    <w:rsid w:val="00414462"/>
    <w:rsid w:val="00415C4E"/>
    <w:rsid w:val="004179C1"/>
    <w:rsid w:val="00425E98"/>
    <w:rsid w:val="00437515"/>
    <w:rsid w:val="00441B92"/>
    <w:rsid w:val="004527F5"/>
    <w:rsid w:val="004663F8"/>
    <w:rsid w:val="00473840"/>
    <w:rsid w:val="0047446F"/>
    <w:rsid w:val="00474585"/>
    <w:rsid w:val="004804B8"/>
    <w:rsid w:val="00482229"/>
    <w:rsid w:val="004A69E2"/>
    <w:rsid w:val="004B5EE4"/>
    <w:rsid w:val="004B6187"/>
    <w:rsid w:val="004B7491"/>
    <w:rsid w:val="004C45FA"/>
    <w:rsid w:val="004C5B74"/>
    <w:rsid w:val="004D2B3A"/>
    <w:rsid w:val="004D30D9"/>
    <w:rsid w:val="004D4891"/>
    <w:rsid w:val="004D6DE9"/>
    <w:rsid w:val="004E53E1"/>
    <w:rsid w:val="004F1D72"/>
    <w:rsid w:val="00506F82"/>
    <w:rsid w:val="00512EDD"/>
    <w:rsid w:val="005144DC"/>
    <w:rsid w:val="0051623F"/>
    <w:rsid w:val="00517C48"/>
    <w:rsid w:val="005252C6"/>
    <w:rsid w:val="005269FE"/>
    <w:rsid w:val="0053097B"/>
    <w:rsid w:val="00532EA4"/>
    <w:rsid w:val="00534013"/>
    <w:rsid w:val="00535A8F"/>
    <w:rsid w:val="005428B3"/>
    <w:rsid w:val="00542AB8"/>
    <w:rsid w:val="00543B02"/>
    <w:rsid w:val="00553E04"/>
    <w:rsid w:val="0056255A"/>
    <w:rsid w:val="00566A9D"/>
    <w:rsid w:val="00583765"/>
    <w:rsid w:val="00591CFD"/>
    <w:rsid w:val="00596979"/>
    <w:rsid w:val="005A0ABB"/>
    <w:rsid w:val="005A145A"/>
    <w:rsid w:val="005C6140"/>
    <w:rsid w:val="005C7EEE"/>
    <w:rsid w:val="005D77DF"/>
    <w:rsid w:val="005E1ACC"/>
    <w:rsid w:val="005E4B39"/>
    <w:rsid w:val="005E7389"/>
    <w:rsid w:val="00605D1F"/>
    <w:rsid w:val="0061030C"/>
    <w:rsid w:val="00616E7D"/>
    <w:rsid w:val="00617581"/>
    <w:rsid w:val="006209DB"/>
    <w:rsid w:val="00625D91"/>
    <w:rsid w:val="006272E4"/>
    <w:rsid w:val="00632ADC"/>
    <w:rsid w:val="00632C2A"/>
    <w:rsid w:val="006363B6"/>
    <w:rsid w:val="00642E4F"/>
    <w:rsid w:val="00664EE5"/>
    <w:rsid w:val="0067122A"/>
    <w:rsid w:val="0067314C"/>
    <w:rsid w:val="00675C49"/>
    <w:rsid w:val="00684F2A"/>
    <w:rsid w:val="006861DC"/>
    <w:rsid w:val="00690CD0"/>
    <w:rsid w:val="006A3722"/>
    <w:rsid w:val="006A493C"/>
    <w:rsid w:val="006A678E"/>
    <w:rsid w:val="006B2D48"/>
    <w:rsid w:val="006C7E0F"/>
    <w:rsid w:val="006D1DB7"/>
    <w:rsid w:val="006D3C3D"/>
    <w:rsid w:val="006E2566"/>
    <w:rsid w:val="006E35FD"/>
    <w:rsid w:val="006F7720"/>
    <w:rsid w:val="00700035"/>
    <w:rsid w:val="00701622"/>
    <w:rsid w:val="00720AC9"/>
    <w:rsid w:val="0072415D"/>
    <w:rsid w:val="007316CA"/>
    <w:rsid w:val="00734F87"/>
    <w:rsid w:val="007535D5"/>
    <w:rsid w:val="00760EA5"/>
    <w:rsid w:val="0077406C"/>
    <w:rsid w:val="00775FA5"/>
    <w:rsid w:val="0077706E"/>
    <w:rsid w:val="00777A35"/>
    <w:rsid w:val="0078201C"/>
    <w:rsid w:val="007828C5"/>
    <w:rsid w:val="007A43D6"/>
    <w:rsid w:val="007A60BA"/>
    <w:rsid w:val="007A708E"/>
    <w:rsid w:val="007B02BC"/>
    <w:rsid w:val="007B7895"/>
    <w:rsid w:val="007C2036"/>
    <w:rsid w:val="007C6D2D"/>
    <w:rsid w:val="007C6F43"/>
    <w:rsid w:val="007D0306"/>
    <w:rsid w:val="007D5497"/>
    <w:rsid w:val="007D6021"/>
    <w:rsid w:val="007D6D86"/>
    <w:rsid w:val="007E02B0"/>
    <w:rsid w:val="007E02BB"/>
    <w:rsid w:val="007F61D4"/>
    <w:rsid w:val="00803E98"/>
    <w:rsid w:val="00810118"/>
    <w:rsid w:val="00810529"/>
    <w:rsid w:val="0081097D"/>
    <w:rsid w:val="0081290C"/>
    <w:rsid w:val="0081337C"/>
    <w:rsid w:val="008141AA"/>
    <w:rsid w:val="008227C3"/>
    <w:rsid w:val="00824AD0"/>
    <w:rsid w:val="00826DAB"/>
    <w:rsid w:val="00845B7A"/>
    <w:rsid w:val="00845E42"/>
    <w:rsid w:val="00847F91"/>
    <w:rsid w:val="00853693"/>
    <w:rsid w:val="008632CB"/>
    <w:rsid w:val="00866B29"/>
    <w:rsid w:val="00870979"/>
    <w:rsid w:val="008744F0"/>
    <w:rsid w:val="00876494"/>
    <w:rsid w:val="00877A4D"/>
    <w:rsid w:val="008923FC"/>
    <w:rsid w:val="008933C5"/>
    <w:rsid w:val="00894FD5"/>
    <w:rsid w:val="00895242"/>
    <w:rsid w:val="008A3877"/>
    <w:rsid w:val="008A679F"/>
    <w:rsid w:val="008B3219"/>
    <w:rsid w:val="008B4174"/>
    <w:rsid w:val="008B6EA0"/>
    <w:rsid w:val="008C49D5"/>
    <w:rsid w:val="008C7402"/>
    <w:rsid w:val="00900353"/>
    <w:rsid w:val="00901298"/>
    <w:rsid w:val="00901F36"/>
    <w:rsid w:val="00910189"/>
    <w:rsid w:val="0091445F"/>
    <w:rsid w:val="00915BBF"/>
    <w:rsid w:val="00920EA6"/>
    <w:rsid w:val="00925914"/>
    <w:rsid w:val="00927086"/>
    <w:rsid w:val="009459B7"/>
    <w:rsid w:val="00951EBA"/>
    <w:rsid w:val="00955662"/>
    <w:rsid w:val="009671A3"/>
    <w:rsid w:val="009875A9"/>
    <w:rsid w:val="009965A8"/>
    <w:rsid w:val="009A1C01"/>
    <w:rsid w:val="009B1248"/>
    <w:rsid w:val="009B3DA2"/>
    <w:rsid w:val="009C367B"/>
    <w:rsid w:val="009D7DB0"/>
    <w:rsid w:val="009F53C7"/>
    <w:rsid w:val="009F55A1"/>
    <w:rsid w:val="009F759D"/>
    <w:rsid w:val="00A04F21"/>
    <w:rsid w:val="00A05C60"/>
    <w:rsid w:val="00A13CCE"/>
    <w:rsid w:val="00A30978"/>
    <w:rsid w:val="00A335C5"/>
    <w:rsid w:val="00A43D42"/>
    <w:rsid w:val="00A47C1F"/>
    <w:rsid w:val="00A53AF9"/>
    <w:rsid w:val="00A556B8"/>
    <w:rsid w:val="00A747AB"/>
    <w:rsid w:val="00A908B8"/>
    <w:rsid w:val="00A9483F"/>
    <w:rsid w:val="00A95E64"/>
    <w:rsid w:val="00AA726D"/>
    <w:rsid w:val="00AB5BD7"/>
    <w:rsid w:val="00AB70EA"/>
    <w:rsid w:val="00AC67B2"/>
    <w:rsid w:val="00AD0B94"/>
    <w:rsid w:val="00AD69C5"/>
    <w:rsid w:val="00AF456F"/>
    <w:rsid w:val="00B16D5A"/>
    <w:rsid w:val="00B23566"/>
    <w:rsid w:val="00B2362F"/>
    <w:rsid w:val="00B245CF"/>
    <w:rsid w:val="00B2525B"/>
    <w:rsid w:val="00B3049C"/>
    <w:rsid w:val="00B33A9B"/>
    <w:rsid w:val="00B73E67"/>
    <w:rsid w:val="00B81A4E"/>
    <w:rsid w:val="00B83A37"/>
    <w:rsid w:val="00B8750E"/>
    <w:rsid w:val="00B92275"/>
    <w:rsid w:val="00BA0321"/>
    <w:rsid w:val="00BA5510"/>
    <w:rsid w:val="00BA64B3"/>
    <w:rsid w:val="00BC1276"/>
    <w:rsid w:val="00BC2FCE"/>
    <w:rsid w:val="00BC326C"/>
    <w:rsid w:val="00BC58D0"/>
    <w:rsid w:val="00BC7C1A"/>
    <w:rsid w:val="00BD541F"/>
    <w:rsid w:val="00BE585D"/>
    <w:rsid w:val="00BF6097"/>
    <w:rsid w:val="00BF624A"/>
    <w:rsid w:val="00C119CD"/>
    <w:rsid w:val="00C1287A"/>
    <w:rsid w:val="00C1464C"/>
    <w:rsid w:val="00C164E3"/>
    <w:rsid w:val="00C26D94"/>
    <w:rsid w:val="00C26DBE"/>
    <w:rsid w:val="00C2797D"/>
    <w:rsid w:val="00C336BC"/>
    <w:rsid w:val="00C36832"/>
    <w:rsid w:val="00C42A59"/>
    <w:rsid w:val="00C53AF3"/>
    <w:rsid w:val="00C54598"/>
    <w:rsid w:val="00C54A69"/>
    <w:rsid w:val="00C56729"/>
    <w:rsid w:val="00C60827"/>
    <w:rsid w:val="00C664F6"/>
    <w:rsid w:val="00C67985"/>
    <w:rsid w:val="00C7128E"/>
    <w:rsid w:val="00C7500D"/>
    <w:rsid w:val="00C803E9"/>
    <w:rsid w:val="00C97B00"/>
    <w:rsid w:val="00CA79C8"/>
    <w:rsid w:val="00CB4465"/>
    <w:rsid w:val="00CD5248"/>
    <w:rsid w:val="00CD70F7"/>
    <w:rsid w:val="00CE0EE2"/>
    <w:rsid w:val="00CF3B68"/>
    <w:rsid w:val="00D05019"/>
    <w:rsid w:val="00D05384"/>
    <w:rsid w:val="00D0723D"/>
    <w:rsid w:val="00D14618"/>
    <w:rsid w:val="00D351CE"/>
    <w:rsid w:val="00D3649C"/>
    <w:rsid w:val="00D417F2"/>
    <w:rsid w:val="00D42211"/>
    <w:rsid w:val="00D4349F"/>
    <w:rsid w:val="00D5559C"/>
    <w:rsid w:val="00D642FF"/>
    <w:rsid w:val="00D65C0E"/>
    <w:rsid w:val="00D71DA5"/>
    <w:rsid w:val="00D75B9C"/>
    <w:rsid w:val="00D82F43"/>
    <w:rsid w:val="00D91C24"/>
    <w:rsid w:val="00D97752"/>
    <w:rsid w:val="00D97E1A"/>
    <w:rsid w:val="00DA130C"/>
    <w:rsid w:val="00DB17FA"/>
    <w:rsid w:val="00DB73F7"/>
    <w:rsid w:val="00DC1112"/>
    <w:rsid w:val="00DC4588"/>
    <w:rsid w:val="00DD1644"/>
    <w:rsid w:val="00DD3D27"/>
    <w:rsid w:val="00DD551E"/>
    <w:rsid w:val="00DD670E"/>
    <w:rsid w:val="00DE146C"/>
    <w:rsid w:val="00DF03DD"/>
    <w:rsid w:val="00DF54DB"/>
    <w:rsid w:val="00E01889"/>
    <w:rsid w:val="00E02CEB"/>
    <w:rsid w:val="00E05DA8"/>
    <w:rsid w:val="00E46EE7"/>
    <w:rsid w:val="00E5042E"/>
    <w:rsid w:val="00E6397A"/>
    <w:rsid w:val="00E63C9D"/>
    <w:rsid w:val="00E6585C"/>
    <w:rsid w:val="00E740D6"/>
    <w:rsid w:val="00E74817"/>
    <w:rsid w:val="00E762F5"/>
    <w:rsid w:val="00E84C32"/>
    <w:rsid w:val="00E861BB"/>
    <w:rsid w:val="00E91B9D"/>
    <w:rsid w:val="00E95677"/>
    <w:rsid w:val="00EA34E8"/>
    <w:rsid w:val="00EA51AF"/>
    <w:rsid w:val="00EB3245"/>
    <w:rsid w:val="00EC1B51"/>
    <w:rsid w:val="00EC3473"/>
    <w:rsid w:val="00EC7682"/>
    <w:rsid w:val="00EE118D"/>
    <w:rsid w:val="00EE1A97"/>
    <w:rsid w:val="00EE1E73"/>
    <w:rsid w:val="00EE5D65"/>
    <w:rsid w:val="00EE6485"/>
    <w:rsid w:val="00EE79DB"/>
    <w:rsid w:val="00EF1C28"/>
    <w:rsid w:val="00EF4DD0"/>
    <w:rsid w:val="00EF4DE4"/>
    <w:rsid w:val="00EF7593"/>
    <w:rsid w:val="00EF7F6C"/>
    <w:rsid w:val="00F01097"/>
    <w:rsid w:val="00F021F3"/>
    <w:rsid w:val="00F107FD"/>
    <w:rsid w:val="00F150F5"/>
    <w:rsid w:val="00F20BB6"/>
    <w:rsid w:val="00F33C70"/>
    <w:rsid w:val="00F3617D"/>
    <w:rsid w:val="00F417C1"/>
    <w:rsid w:val="00F4249E"/>
    <w:rsid w:val="00F44D53"/>
    <w:rsid w:val="00F61619"/>
    <w:rsid w:val="00F635E8"/>
    <w:rsid w:val="00F737BB"/>
    <w:rsid w:val="00F748DD"/>
    <w:rsid w:val="00F81D60"/>
    <w:rsid w:val="00F92BBC"/>
    <w:rsid w:val="00F9385D"/>
    <w:rsid w:val="00FA6E45"/>
    <w:rsid w:val="00FB1BE8"/>
    <w:rsid w:val="00FC4AC8"/>
    <w:rsid w:val="00FC4C59"/>
    <w:rsid w:val="00FC6CAC"/>
    <w:rsid w:val="00FD0135"/>
    <w:rsid w:val="00FD1E88"/>
    <w:rsid w:val="00FD3C83"/>
    <w:rsid w:val="00FD58DE"/>
    <w:rsid w:val="00FE4F48"/>
    <w:rsid w:val="00FF108D"/>
    <w:rsid w:val="00FF3788"/>
    <w:rsid w:val="00FF64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69272C-4E50-4E96-9526-67542F6D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AU" w:eastAsia="en-AU" w:bidi="ar-SA"/>
      </w:rPr>
    </w:rPrDefault>
    <w:pPrDefault/>
  </w:docDefaults>
  <w:latentStyles w:defLockedState="1" w:defUIPriority="99" w:defSemiHidden="0" w:defUnhideWhenUsed="0" w:defQFormat="0" w:count="375">
    <w:lsdException w:name="Normal" w:locked="0"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uiPriority w:val="9"/>
    <w:semiHidden/>
    <w:qFormat/>
    <w:rsid w:val="00F021F3"/>
    <w:pPr>
      <w:spacing w:after="160" w:line="259"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Title">
    <w:name w:val="Minutes Title"/>
    <w:basedOn w:val="Normal"/>
    <w:next w:val="MeetingAttendees"/>
    <w:qFormat/>
    <w:rsid w:val="0033006B"/>
    <w:pPr>
      <w:spacing w:after="480" w:line="274" w:lineRule="auto"/>
      <w:contextualSpacing/>
      <w:jc w:val="center"/>
      <w:outlineLvl w:val="0"/>
    </w:pPr>
    <w:rPr>
      <w:b/>
      <w:u w:val="single"/>
    </w:rPr>
  </w:style>
  <w:style w:type="paragraph" w:customStyle="1" w:styleId="AgendaItemL1">
    <w:name w:val="AgendaItem L1"/>
    <w:basedOn w:val="MinutesTitle"/>
    <w:next w:val="AgendaItemL2"/>
    <w:uiPriority w:val="1"/>
    <w:qFormat/>
    <w:rsid w:val="0033006B"/>
    <w:pPr>
      <w:keepNext/>
      <w:numPr>
        <w:numId w:val="1"/>
      </w:numPr>
      <w:spacing w:after="120" w:line="240" w:lineRule="auto"/>
      <w:ind w:left="357" w:hanging="357"/>
      <w:contextualSpacing w:val="0"/>
      <w:jc w:val="left"/>
      <w:outlineLvl w:val="1"/>
    </w:pPr>
    <w:rPr>
      <w:u w:val="none"/>
    </w:rPr>
  </w:style>
  <w:style w:type="paragraph" w:customStyle="1" w:styleId="AgendaItemL2">
    <w:name w:val="AgendaItem L2"/>
    <w:basedOn w:val="AgendaItemL1"/>
    <w:uiPriority w:val="2"/>
    <w:qFormat/>
    <w:rsid w:val="0033006B"/>
    <w:pPr>
      <w:numPr>
        <w:numId w:val="2"/>
      </w:numPr>
      <w:ind w:left="527" w:hanging="357"/>
      <w:outlineLvl w:val="2"/>
    </w:pPr>
    <w:rPr>
      <w:b w:val="0"/>
      <w:u w:val="single"/>
    </w:rPr>
  </w:style>
  <w:style w:type="paragraph" w:customStyle="1" w:styleId="AgendaParagraph">
    <w:name w:val="Agenda Paragraph"/>
    <w:basedOn w:val="MinutesTitle"/>
    <w:uiPriority w:val="3"/>
    <w:qFormat/>
    <w:rsid w:val="0072415D"/>
    <w:pPr>
      <w:spacing w:after="120" w:line="240" w:lineRule="auto"/>
      <w:ind w:left="941"/>
      <w:jc w:val="left"/>
      <w:outlineLvl w:val="9"/>
    </w:pPr>
    <w:rPr>
      <w:b w:val="0"/>
      <w:u w:val="none"/>
    </w:rPr>
  </w:style>
  <w:style w:type="paragraph" w:styleId="Header">
    <w:name w:val="header"/>
    <w:basedOn w:val="Normal"/>
    <w:link w:val="HeaderChar"/>
    <w:uiPriority w:val="99"/>
    <w:locked/>
    <w:rsid w:val="006D3C3D"/>
    <w:pPr>
      <w:tabs>
        <w:tab w:val="center" w:pos="4513"/>
        <w:tab w:val="right" w:pos="9026"/>
      </w:tabs>
    </w:pPr>
  </w:style>
  <w:style w:type="character" w:customStyle="1" w:styleId="HeaderChar">
    <w:name w:val="Header Char"/>
    <w:link w:val="Header"/>
    <w:uiPriority w:val="99"/>
    <w:rsid w:val="006D3C3D"/>
    <w:rPr>
      <w:sz w:val="24"/>
      <w:szCs w:val="24"/>
    </w:rPr>
  </w:style>
  <w:style w:type="paragraph" w:styleId="Footer">
    <w:name w:val="footer"/>
    <w:basedOn w:val="Normal"/>
    <w:link w:val="FooterChar"/>
    <w:uiPriority w:val="99"/>
    <w:semiHidden/>
    <w:locked/>
    <w:rsid w:val="006D3C3D"/>
    <w:pPr>
      <w:tabs>
        <w:tab w:val="center" w:pos="4513"/>
        <w:tab w:val="right" w:pos="9026"/>
      </w:tabs>
    </w:pPr>
  </w:style>
  <w:style w:type="character" w:customStyle="1" w:styleId="FooterChar">
    <w:name w:val="Footer Char"/>
    <w:link w:val="Footer"/>
    <w:uiPriority w:val="99"/>
    <w:semiHidden/>
    <w:rsid w:val="006D3C3D"/>
    <w:rPr>
      <w:sz w:val="24"/>
      <w:szCs w:val="24"/>
    </w:rPr>
  </w:style>
  <w:style w:type="paragraph" w:customStyle="1" w:styleId="MeetingAttendees">
    <w:name w:val="Meeting Attendees"/>
    <w:basedOn w:val="AgendaParagraph"/>
    <w:uiPriority w:val="9"/>
    <w:qFormat/>
    <w:rsid w:val="004C45FA"/>
    <w:pPr>
      <w:tabs>
        <w:tab w:val="left" w:pos="2098"/>
        <w:tab w:val="left" w:pos="3402"/>
      </w:tabs>
      <w:spacing w:after="240"/>
    </w:pPr>
    <w:rPr>
      <w:b/>
    </w:rPr>
  </w:style>
  <w:style w:type="paragraph" w:customStyle="1" w:styleId="AgendaItemBL2">
    <w:name w:val="AgendaItem BL2"/>
    <w:next w:val="AgendaParagraph"/>
    <w:uiPriority w:val="9"/>
    <w:qFormat/>
    <w:rsid w:val="004C45FA"/>
    <w:pPr>
      <w:keepNext/>
      <w:numPr>
        <w:numId w:val="3"/>
      </w:numPr>
      <w:spacing w:after="200"/>
      <w:contextualSpacing/>
    </w:pPr>
    <w:rPr>
      <w:b/>
      <w:sz w:val="24"/>
      <w:szCs w:val="24"/>
    </w:rPr>
  </w:style>
  <w:style w:type="paragraph" w:customStyle="1" w:styleId="AgendaItemBL1">
    <w:name w:val="AgendaItem BL1"/>
    <w:basedOn w:val="AgendaItemL1"/>
    <w:uiPriority w:val="9"/>
    <w:qFormat/>
    <w:rsid w:val="00AB5BD7"/>
    <w:pPr>
      <w:numPr>
        <w:numId w:val="4"/>
      </w:numPr>
      <w:spacing w:after="240"/>
      <w:ind w:left="357" w:hanging="357"/>
    </w:pPr>
  </w:style>
  <w:style w:type="paragraph" w:customStyle="1" w:styleId="AgendaItemTopRight">
    <w:name w:val="AgendaItem TopRight"/>
    <w:basedOn w:val="AgendaItemBL1"/>
    <w:uiPriority w:val="9"/>
    <w:qFormat/>
    <w:rsid w:val="00F9385D"/>
    <w:pPr>
      <w:numPr>
        <w:numId w:val="0"/>
      </w:numPr>
      <w:spacing w:after="120"/>
      <w:ind w:left="357"/>
      <w:contextualSpacing/>
      <w:jc w:val="right"/>
    </w:pPr>
  </w:style>
  <w:style w:type="paragraph" w:customStyle="1" w:styleId="AgendaHeader">
    <w:name w:val="Agenda Header"/>
    <w:basedOn w:val="AgendaItemTopRight"/>
    <w:next w:val="AgendaParagraph"/>
    <w:uiPriority w:val="9"/>
    <w:qFormat/>
    <w:rsid w:val="00053A16"/>
    <w:pPr>
      <w:spacing w:before="480"/>
      <w:jc w:val="left"/>
    </w:pPr>
  </w:style>
  <w:style w:type="paragraph" w:customStyle="1" w:styleId="AgendaParagraphNI">
    <w:name w:val="Agenda Paragraph NI"/>
    <w:basedOn w:val="AgendaParagraph"/>
    <w:uiPriority w:val="9"/>
    <w:qFormat/>
    <w:rsid w:val="00B3049C"/>
    <w:pPr>
      <w:ind w:left="357"/>
    </w:pPr>
  </w:style>
  <w:style w:type="paragraph" w:styleId="BalloonText">
    <w:name w:val="Balloon Text"/>
    <w:basedOn w:val="Normal"/>
    <w:link w:val="BalloonTextChar"/>
    <w:uiPriority w:val="99"/>
    <w:semiHidden/>
    <w:locked/>
    <w:rsid w:val="00D91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C24"/>
    <w:rPr>
      <w:rFonts w:ascii="Segoe UI" w:hAnsi="Segoe UI" w:cs="Segoe UI"/>
      <w:sz w:val="18"/>
      <w:szCs w:val="18"/>
    </w:rPr>
  </w:style>
  <w:style w:type="paragraph" w:styleId="ListParagraph">
    <w:name w:val="List Paragraph"/>
    <w:basedOn w:val="Normal"/>
    <w:uiPriority w:val="34"/>
    <w:qFormat/>
    <w:locked/>
    <w:rsid w:val="006209DB"/>
    <w:pPr>
      <w:spacing w:after="0" w:line="240" w:lineRule="auto"/>
      <w:ind w:left="720"/>
    </w:pPr>
    <w:rPr>
      <w:rFonts w:ascii="Times New Roman" w:eastAsia="Times New Roman" w:hAnsi="Times New Roman"/>
    </w:rPr>
  </w:style>
  <w:style w:type="paragraph" w:customStyle="1" w:styleId="Default">
    <w:name w:val="Default"/>
    <w:basedOn w:val="Normal"/>
    <w:rsid w:val="00EE118D"/>
    <w:pPr>
      <w:autoSpaceDE w:val="0"/>
      <w:autoSpaceDN w:val="0"/>
      <w:spacing w:after="0" w:line="240" w:lineRule="auto"/>
    </w:pPr>
    <w:rPr>
      <w:rFonts w:ascii="Times New Roman" w:eastAsiaTheme="minorHAnsi" w:hAnsi="Times New Roman"/>
      <w:color w:val="000000"/>
    </w:rPr>
  </w:style>
  <w:style w:type="paragraph" w:styleId="NormalWeb">
    <w:name w:val="Normal (Web)"/>
    <w:basedOn w:val="Normal"/>
    <w:uiPriority w:val="99"/>
    <w:semiHidden/>
    <w:unhideWhenUsed/>
    <w:locked/>
    <w:rsid w:val="00915BBF"/>
    <w:pPr>
      <w:spacing w:before="100" w:beforeAutospacing="1" w:after="100" w:afterAutospacing="1"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727983">
      <w:bodyDiv w:val="1"/>
      <w:marLeft w:val="0"/>
      <w:marRight w:val="0"/>
      <w:marTop w:val="0"/>
      <w:marBottom w:val="0"/>
      <w:divBdr>
        <w:top w:val="none" w:sz="0" w:space="0" w:color="auto"/>
        <w:left w:val="none" w:sz="0" w:space="0" w:color="auto"/>
        <w:bottom w:val="none" w:sz="0" w:space="0" w:color="auto"/>
        <w:right w:val="none" w:sz="0" w:space="0" w:color="auto"/>
      </w:divBdr>
    </w:div>
    <w:div w:id="373509472">
      <w:bodyDiv w:val="1"/>
      <w:marLeft w:val="0"/>
      <w:marRight w:val="0"/>
      <w:marTop w:val="0"/>
      <w:marBottom w:val="0"/>
      <w:divBdr>
        <w:top w:val="none" w:sz="0" w:space="0" w:color="auto"/>
        <w:left w:val="none" w:sz="0" w:space="0" w:color="auto"/>
        <w:bottom w:val="none" w:sz="0" w:space="0" w:color="auto"/>
        <w:right w:val="none" w:sz="0" w:space="0" w:color="auto"/>
      </w:divBdr>
    </w:div>
    <w:div w:id="512451016">
      <w:bodyDiv w:val="1"/>
      <w:marLeft w:val="0"/>
      <w:marRight w:val="0"/>
      <w:marTop w:val="0"/>
      <w:marBottom w:val="0"/>
      <w:divBdr>
        <w:top w:val="none" w:sz="0" w:space="0" w:color="auto"/>
        <w:left w:val="none" w:sz="0" w:space="0" w:color="auto"/>
        <w:bottom w:val="none" w:sz="0" w:space="0" w:color="auto"/>
        <w:right w:val="none" w:sz="0" w:space="0" w:color="auto"/>
      </w:divBdr>
    </w:div>
    <w:div w:id="832573689">
      <w:bodyDiv w:val="1"/>
      <w:marLeft w:val="0"/>
      <w:marRight w:val="0"/>
      <w:marTop w:val="0"/>
      <w:marBottom w:val="0"/>
      <w:divBdr>
        <w:top w:val="none" w:sz="0" w:space="0" w:color="auto"/>
        <w:left w:val="none" w:sz="0" w:space="0" w:color="auto"/>
        <w:bottom w:val="none" w:sz="0" w:space="0" w:color="auto"/>
        <w:right w:val="none" w:sz="0" w:space="0" w:color="auto"/>
      </w:divBdr>
    </w:div>
    <w:div w:id="1283148855">
      <w:bodyDiv w:val="1"/>
      <w:marLeft w:val="0"/>
      <w:marRight w:val="0"/>
      <w:marTop w:val="0"/>
      <w:marBottom w:val="0"/>
      <w:divBdr>
        <w:top w:val="none" w:sz="0" w:space="0" w:color="auto"/>
        <w:left w:val="none" w:sz="0" w:space="0" w:color="auto"/>
        <w:bottom w:val="none" w:sz="0" w:space="0" w:color="auto"/>
        <w:right w:val="none" w:sz="0" w:space="0" w:color="auto"/>
      </w:divBdr>
    </w:div>
    <w:div w:id="136512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High Court of Australia</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 of Australia</dc:creator>
  <cp:keywords/>
  <dc:description/>
  <cp:lastModifiedBy>Saleem Akhtar</cp:lastModifiedBy>
  <cp:revision>2</cp:revision>
  <cp:lastPrinted>2022-03-04T00:57:00Z</cp:lastPrinted>
  <dcterms:created xsi:type="dcterms:W3CDTF">2022-03-28T00:32:00Z</dcterms:created>
  <dcterms:modified xsi:type="dcterms:W3CDTF">2022-03-28T00:32:00Z</dcterms:modified>
</cp:coreProperties>
</file>