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A162F" w14:textId="797EC22A" w:rsidR="00282F27" w:rsidRDefault="00646F91" w:rsidP="00551C87">
      <w:pPr>
        <w:pStyle w:val="BodyText"/>
        <w:kinsoku w:val="0"/>
        <w:overflowPunct w:val="0"/>
        <w:ind w:left="4021"/>
        <w:rPr>
          <w:sz w:val="20"/>
          <w:szCs w:val="20"/>
        </w:rPr>
      </w:pPr>
      <w:bookmarkStart w:id="0" w:name="_GoBack"/>
      <w:bookmarkEnd w:id="0"/>
      <w:r>
        <w:rPr>
          <w:noProof/>
        </w:rPr>
        <w:drawing>
          <wp:anchor distT="0" distB="0" distL="114300" distR="114300" simplePos="0" relativeHeight="251657728" behindDoc="0" locked="0" layoutInCell="1" allowOverlap="1" wp14:anchorId="3CBD926D" wp14:editId="6CD3194E">
            <wp:simplePos x="0" y="0"/>
            <wp:positionH relativeFrom="column">
              <wp:align>left</wp:align>
            </wp:positionH>
            <wp:positionV relativeFrom="paragraph">
              <wp:posOffset>0</wp:posOffset>
            </wp:positionV>
            <wp:extent cx="1047750" cy="70485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704850"/>
                    </a:xfrm>
                    <a:prstGeom prst="rect">
                      <a:avLst/>
                    </a:prstGeom>
                    <a:noFill/>
                  </pic:spPr>
                </pic:pic>
              </a:graphicData>
            </a:graphic>
            <wp14:sizeRelH relativeFrom="page">
              <wp14:pctWidth>0</wp14:pctWidth>
            </wp14:sizeRelH>
            <wp14:sizeRelV relativeFrom="page">
              <wp14:pctHeight>0</wp14:pctHeight>
            </wp14:sizeRelV>
          </wp:anchor>
        </w:drawing>
      </w:r>
      <w:r w:rsidR="001F1856">
        <w:rPr>
          <w:sz w:val="20"/>
          <w:szCs w:val="20"/>
        </w:rPr>
        <w:br w:type="textWrapping" w:clear="all"/>
      </w:r>
    </w:p>
    <w:p w14:paraId="5651F8B7" w14:textId="77777777" w:rsidR="00282F27" w:rsidRDefault="00282F27">
      <w:pPr>
        <w:pStyle w:val="BodyText"/>
        <w:kinsoku w:val="0"/>
        <w:overflowPunct w:val="0"/>
        <w:spacing w:before="6"/>
        <w:rPr>
          <w:sz w:val="15"/>
          <w:szCs w:val="15"/>
        </w:rPr>
      </w:pPr>
    </w:p>
    <w:p w14:paraId="21BF7733" w14:textId="77777777" w:rsidR="00282F27" w:rsidRPr="00DE4C34" w:rsidRDefault="00282F27">
      <w:pPr>
        <w:pStyle w:val="BodyText"/>
        <w:kinsoku w:val="0"/>
        <w:overflowPunct w:val="0"/>
        <w:spacing w:before="6"/>
        <w:rPr>
          <w:sz w:val="11"/>
          <w:szCs w:val="15"/>
        </w:rPr>
        <w:sectPr w:rsidR="00282F27" w:rsidRPr="00DE4C34" w:rsidSect="00953540">
          <w:headerReference w:type="default" r:id="rId9"/>
          <w:headerReference w:type="first" r:id="rId10"/>
          <w:type w:val="continuous"/>
          <w:pgSz w:w="11910" w:h="16850"/>
          <w:pgMar w:top="709" w:right="840" w:bottom="0" w:left="1200" w:header="284" w:footer="720" w:gutter="0"/>
          <w:cols w:space="720"/>
          <w:noEndnote/>
          <w:titlePg/>
          <w:docGrid w:linePitch="299"/>
        </w:sectPr>
      </w:pPr>
    </w:p>
    <w:p w14:paraId="494C9686" w14:textId="77777777" w:rsidR="00282F27" w:rsidRDefault="00551C87" w:rsidP="00551C87">
      <w:pPr>
        <w:pStyle w:val="BodyText"/>
        <w:kinsoku w:val="0"/>
        <w:overflowPunct w:val="0"/>
        <w:spacing w:before="92"/>
        <w:ind w:left="2356"/>
        <w:jc w:val="center"/>
        <w:rPr>
          <w:rFonts w:ascii="Arial" w:hAnsi="Arial" w:cs="Arial"/>
          <w:spacing w:val="-39"/>
          <w:sz w:val="28"/>
          <w:szCs w:val="28"/>
        </w:rPr>
      </w:pPr>
      <w:r>
        <w:rPr>
          <w:rFonts w:ascii="Arial" w:hAnsi="Arial" w:cs="Arial"/>
          <w:spacing w:val="26"/>
          <w:sz w:val="28"/>
          <w:szCs w:val="28"/>
        </w:rPr>
        <w:t>HIGH COURT OF AUSTRALIA</w:t>
      </w:r>
    </w:p>
    <w:p w14:paraId="1A3778F6" w14:textId="77777777" w:rsidR="00551C87" w:rsidRDefault="00282F27" w:rsidP="00551C87">
      <w:pPr>
        <w:pStyle w:val="BodyText"/>
        <w:kinsoku w:val="0"/>
        <w:overflowPunct w:val="0"/>
        <w:spacing w:before="5"/>
        <w:rPr>
          <w:rFonts w:ascii="Arial" w:hAnsi="Arial" w:cs="Arial"/>
          <w:sz w:val="38"/>
          <w:szCs w:val="38"/>
        </w:rPr>
      </w:pPr>
      <w:r>
        <w:br w:type="column"/>
      </w:r>
    </w:p>
    <w:p w14:paraId="5D282685" w14:textId="77777777" w:rsidR="00282F27" w:rsidRPr="00EE02C7" w:rsidRDefault="000E5210" w:rsidP="00EE02C7">
      <w:pPr>
        <w:pStyle w:val="BodyText"/>
        <w:kinsoku w:val="0"/>
        <w:overflowPunct w:val="0"/>
        <w:spacing w:before="5"/>
        <w:jc w:val="right"/>
        <w:rPr>
          <w:rFonts w:ascii="Arial" w:hAnsi="Arial" w:cs="Arial"/>
          <w:sz w:val="38"/>
          <w:szCs w:val="38"/>
        </w:rPr>
        <w:sectPr w:rsidR="00282F27" w:rsidRPr="00EE02C7">
          <w:type w:val="continuous"/>
          <w:pgSz w:w="11910" w:h="16850"/>
          <w:pgMar w:top="1040" w:right="840" w:bottom="0" w:left="1200" w:header="720" w:footer="720" w:gutter="0"/>
          <w:cols w:num="2" w:space="720" w:equalWidth="0">
            <w:col w:w="7151" w:space="40"/>
            <w:col w:w="2679"/>
          </w:cols>
          <w:noEndnote/>
        </w:sectPr>
      </w:pPr>
      <w:r>
        <w:t>3</w:t>
      </w:r>
      <w:r w:rsidR="00282F27">
        <w:t xml:space="preserve"> </w:t>
      </w:r>
      <w:r w:rsidR="004403FA">
        <w:t>February</w:t>
      </w:r>
      <w:r w:rsidR="00282F27">
        <w:t xml:space="preserve"> 202</w:t>
      </w:r>
      <w:r w:rsidR="004403FA">
        <w:t>1</w:t>
      </w:r>
    </w:p>
    <w:p w14:paraId="685A9C26" w14:textId="77777777" w:rsidR="00282F27" w:rsidRPr="00DE4C34" w:rsidRDefault="00282F27">
      <w:pPr>
        <w:pStyle w:val="BodyText"/>
        <w:kinsoku w:val="0"/>
        <w:overflowPunct w:val="0"/>
        <w:spacing w:before="5"/>
        <w:rPr>
          <w:sz w:val="16"/>
          <w:szCs w:val="18"/>
        </w:rPr>
      </w:pPr>
    </w:p>
    <w:p w14:paraId="772543DB" w14:textId="3E4540D2" w:rsidR="00282F27" w:rsidRDefault="004403FA" w:rsidP="002D32FA">
      <w:pPr>
        <w:pStyle w:val="BodyText"/>
        <w:kinsoku w:val="0"/>
        <w:overflowPunct w:val="0"/>
        <w:ind w:right="89"/>
        <w:jc w:val="center"/>
      </w:pPr>
      <w:bookmarkStart w:id="1" w:name="_Hlk61618438"/>
      <w:r w:rsidRPr="00992F1E">
        <w:rPr>
          <w:u w:val="single"/>
        </w:rPr>
        <w:t>O</w:t>
      </w:r>
      <w:r w:rsidR="00C055C9" w:rsidRPr="00992F1E">
        <w:rPr>
          <w:u w:val="single"/>
        </w:rPr>
        <w:t>A</w:t>
      </w:r>
      <w:r w:rsidRPr="00992F1E">
        <w:rPr>
          <w:u w:val="single"/>
        </w:rPr>
        <w:t>KEY COAL ACTION ALLIANCE INC</w:t>
      </w:r>
      <w:r w:rsidR="00551C87" w:rsidRPr="00992F1E">
        <w:rPr>
          <w:u w:val="single"/>
        </w:rPr>
        <w:t xml:space="preserve"> </w:t>
      </w:r>
      <w:r w:rsidR="003A71B6" w:rsidRPr="00992F1E">
        <w:rPr>
          <w:u w:val="single"/>
        </w:rPr>
        <w:t>v</w:t>
      </w:r>
      <w:r w:rsidR="00551C87" w:rsidRPr="00992F1E">
        <w:rPr>
          <w:u w:val="single"/>
        </w:rPr>
        <w:t xml:space="preserve"> </w:t>
      </w:r>
      <w:r w:rsidRPr="00992F1E">
        <w:rPr>
          <w:u w:val="single"/>
        </w:rPr>
        <w:t>NEW ACLAND COAL PTY LTD &amp; ORS</w:t>
      </w:r>
      <w:r w:rsidR="00282F27" w:rsidRPr="00992F1E">
        <w:t xml:space="preserve"> </w:t>
      </w:r>
      <w:bookmarkEnd w:id="1"/>
      <w:r w:rsidR="002D32FA" w:rsidRPr="00992F1E">
        <w:br/>
      </w:r>
      <w:r w:rsidR="00282F27" w:rsidRPr="00992F1E">
        <w:t>[202</w:t>
      </w:r>
      <w:r w:rsidRPr="00992F1E">
        <w:t>1</w:t>
      </w:r>
      <w:r w:rsidR="00282F27" w:rsidRPr="00992F1E">
        <w:t xml:space="preserve">] HCA </w:t>
      </w:r>
      <w:r w:rsidR="00992F1E" w:rsidRPr="00992F1E">
        <w:t>2</w:t>
      </w:r>
    </w:p>
    <w:p w14:paraId="6BA91188" w14:textId="77777777" w:rsidR="00282F27" w:rsidRPr="00DE4C34" w:rsidRDefault="00282F27">
      <w:pPr>
        <w:pStyle w:val="BodyText"/>
        <w:kinsoku w:val="0"/>
        <w:overflowPunct w:val="0"/>
        <w:rPr>
          <w:sz w:val="16"/>
        </w:rPr>
      </w:pPr>
    </w:p>
    <w:p w14:paraId="50127AAD" w14:textId="235B912C" w:rsidR="00FD2ECA" w:rsidRDefault="00282F27">
      <w:pPr>
        <w:pStyle w:val="BodyText"/>
        <w:kinsoku w:val="0"/>
        <w:overflowPunct w:val="0"/>
        <w:ind w:left="103" w:right="178"/>
        <w:jc w:val="both"/>
        <w:rPr>
          <w:spacing w:val="-4"/>
        </w:rPr>
      </w:pPr>
      <w:r>
        <w:t>Today</w:t>
      </w:r>
      <w:r>
        <w:rPr>
          <w:spacing w:val="-9"/>
        </w:rPr>
        <w:t xml:space="preserve"> </w:t>
      </w:r>
      <w:r>
        <w:t>the</w:t>
      </w:r>
      <w:r>
        <w:rPr>
          <w:spacing w:val="-5"/>
        </w:rPr>
        <w:t xml:space="preserve"> </w:t>
      </w:r>
      <w:r>
        <w:t>High</w:t>
      </w:r>
      <w:r>
        <w:rPr>
          <w:spacing w:val="-3"/>
        </w:rPr>
        <w:t xml:space="preserve"> </w:t>
      </w:r>
      <w:r>
        <w:t>Court</w:t>
      </w:r>
      <w:r>
        <w:rPr>
          <w:spacing w:val="-3"/>
        </w:rPr>
        <w:t xml:space="preserve"> </w:t>
      </w:r>
      <w:r>
        <w:t>unanimously</w:t>
      </w:r>
      <w:r>
        <w:rPr>
          <w:spacing w:val="-8"/>
        </w:rPr>
        <w:t xml:space="preserve"> </w:t>
      </w:r>
      <w:r>
        <w:t>allowed</w:t>
      </w:r>
      <w:r>
        <w:rPr>
          <w:spacing w:val="-4"/>
        </w:rPr>
        <w:t xml:space="preserve"> </w:t>
      </w:r>
      <w:r w:rsidR="003D30B5">
        <w:rPr>
          <w:spacing w:val="-4"/>
        </w:rPr>
        <w:t>an appeal from a judgment of the</w:t>
      </w:r>
      <w:r w:rsidR="00551C87">
        <w:rPr>
          <w:spacing w:val="-4"/>
        </w:rPr>
        <w:t xml:space="preserve"> </w:t>
      </w:r>
      <w:r w:rsidR="004403FA">
        <w:rPr>
          <w:spacing w:val="-4"/>
        </w:rPr>
        <w:t>Court of Appeal of the Supreme Court of Queensland</w:t>
      </w:r>
      <w:r w:rsidR="003D30B5">
        <w:rPr>
          <w:spacing w:val="-4"/>
        </w:rPr>
        <w:t xml:space="preserve">. The issue raised by the appeal </w:t>
      </w:r>
      <w:r w:rsidR="00495ACC">
        <w:rPr>
          <w:spacing w:val="-4"/>
        </w:rPr>
        <w:t xml:space="preserve">was </w:t>
      </w:r>
      <w:r w:rsidR="008A2047">
        <w:rPr>
          <w:spacing w:val="-4"/>
        </w:rPr>
        <w:t xml:space="preserve">whether, after finding that </w:t>
      </w:r>
      <w:r w:rsidR="002422B9">
        <w:rPr>
          <w:spacing w:val="-4"/>
        </w:rPr>
        <w:t>recommendations made by</w:t>
      </w:r>
      <w:r w:rsidR="008A2047">
        <w:rPr>
          <w:spacing w:val="-4"/>
        </w:rPr>
        <w:t xml:space="preserve"> the Land Court </w:t>
      </w:r>
      <w:r w:rsidR="00F3661B">
        <w:rPr>
          <w:spacing w:val="-4"/>
        </w:rPr>
        <w:t xml:space="preserve">of Queensland ("Land Court") </w:t>
      </w:r>
      <w:r w:rsidR="008A2047">
        <w:rPr>
          <w:spacing w:val="-4"/>
        </w:rPr>
        <w:t>w</w:t>
      </w:r>
      <w:r w:rsidR="002422B9">
        <w:rPr>
          <w:spacing w:val="-4"/>
        </w:rPr>
        <w:t>ere</w:t>
      </w:r>
      <w:r w:rsidR="008A2047">
        <w:rPr>
          <w:spacing w:val="-4"/>
        </w:rPr>
        <w:t xml:space="preserve"> affected by apprehended bias, </w:t>
      </w:r>
      <w:r w:rsidR="00C11E96">
        <w:rPr>
          <w:spacing w:val="-4"/>
        </w:rPr>
        <w:t xml:space="preserve">the Court of Appeal ought to have referred the entirety </w:t>
      </w:r>
      <w:r w:rsidR="00B70955">
        <w:rPr>
          <w:spacing w:val="-4"/>
        </w:rPr>
        <w:t xml:space="preserve">of the matters to which the recommendations related back to the Land Court for full reconsideration, </w:t>
      </w:r>
      <w:r w:rsidR="000C0F68">
        <w:rPr>
          <w:spacing w:val="-4"/>
        </w:rPr>
        <w:t>instead</w:t>
      </w:r>
      <w:r w:rsidR="00A67E4D">
        <w:rPr>
          <w:spacing w:val="-4"/>
        </w:rPr>
        <w:t xml:space="preserve"> of making</w:t>
      </w:r>
      <w:r w:rsidR="000C0F68">
        <w:rPr>
          <w:spacing w:val="-4"/>
        </w:rPr>
        <w:t xml:space="preserve"> </w:t>
      </w:r>
      <w:r w:rsidR="003B5EAE">
        <w:rPr>
          <w:spacing w:val="-4"/>
        </w:rPr>
        <w:t>consequential orders limited to a declaration</w:t>
      </w:r>
      <w:r w:rsidR="000C0F68">
        <w:rPr>
          <w:spacing w:val="-4"/>
        </w:rPr>
        <w:t xml:space="preserve"> that procedural fairness had not been </w:t>
      </w:r>
      <w:r w:rsidR="00AB7F4E">
        <w:rPr>
          <w:spacing w:val="-4"/>
        </w:rPr>
        <w:t>observed</w:t>
      </w:r>
      <w:r w:rsidR="000C0F68">
        <w:rPr>
          <w:spacing w:val="-4"/>
        </w:rPr>
        <w:t xml:space="preserve">. </w:t>
      </w:r>
    </w:p>
    <w:p w14:paraId="6FF92AD1" w14:textId="77777777" w:rsidR="004403FA" w:rsidRPr="00880AAA" w:rsidRDefault="004403FA">
      <w:pPr>
        <w:pStyle w:val="BodyText"/>
        <w:kinsoku w:val="0"/>
        <w:overflowPunct w:val="0"/>
        <w:ind w:left="103" w:right="178"/>
        <w:jc w:val="both"/>
        <w:rPr>
          <w:spacing w:val="-4"/>
          <w:sz w:val="20"/>
          <w:szCs w:val="20"/>
        </w:rPr>
      </w:pPr>
    </w:p>
    <w:p w14:paraId="44EC8A50" w14:textId="443FC384" w:rsidR="007D6BAA" w:rsidRPr="00EB1AA6" w:rsidRDefault="004403FA">
      <w:pPr>
        <w:pStyle w:val="BodyText"/>
        <w:kinsoku w:val="0"/>
        <w:overflowPunct w:val="0"/>
        <w:ind w:left="103" w:right="178"/>
        <w:jc w:val="both"/>
        <w:rPr>
          <w:spacing w:val="-4"/>
        </w:rPr>
      </w:pPr>
      <w:r>
        <w:rPr>
          <w:spacing w:val="-4"/>
        </w:rPr>
        <w:t>New Acland Coal Pty Ltd ("New Acland")</w:t>
      </w:r>
      <w:r w:rsidR="008A2047">
        <w:rPr>
          <w:spacing w:val="-4"/>
        </w:rPr>
        <w:t xml:space="preserve"> operated an open</w:t>
      </w:r>
      <w:r w:rsidR="0062571B">
        <w:rPr>
          <w:spacing w:val="-4"/>
        </w:rPr>
        <w:t>-</w:t>
      </w:r>
      <w:r w:rsidR="008A2047">
        <w:rPr>
          <w:spacing w:val="-4"/>
        </w:rPr>
        <w:t>cut coal mine near Oakey in Queensland. In seeking to expand the mine, New Acland</w:t>
      </w:r>
      <w:r>
        <w:rPr>
          <w:spacing w:val="-4"/>
        </w:rPr>
        <w:t xml:space="preserve"> applied for additional mining leases and </w:t>
      </w:r>
      <w:r w:rsidR="008A2047">
        <w:rPr>
          <w:spacing w:val="-4"/>
        </w:rPr>
        <w:t xml:space="preserve">for </w:t>
      </w:r>
      <w:r>
        <w:rPr>
          <w:spacing w:val="-4"/>
        </w:rPr>
        <w:t>an amendment to its existing environmental authority</w:t>
      </w:r>
      <w:r w:rsidR="008A2047">
        <w:rPr>
          <w:spacing w:val="-4"/>
        </w:rPr>
        <w:t>. Oakey Coal Action Alliance Inc ("Oakey</w:t>
      </w:r>
      <w:r w:rsidR="000E5210">
        <w:rPr>
          <w:spacing w:val="-4"/>
        </w:rPr>
        <w:t>"</w:t>
      </w:r>
      <w:r w:rsidR="008A2047">
        <w:rPr>
          <w:spacing w:val="-4"/>
        </w:rPr>
        <w:t>) and others lodged objections to each application. The Land Court recommended that both applications be rejected, including on the basis of</w:t>
      </w:r>
      <w:r w:rsidR="00D34CF6">
        <w:rPr>
          <w:spacing w:val="-4"/>
        </w:rPr>
        <w:t xml:space="preserve"> issues relating to</w:t>
      </w:r>
      <w:r w:rsidR="008A2047">
        <w:rPr>
          <w:spacing w:val="-4"/>
        </w:rPr>
        <w:t xml:space="preserve"> noise, groundwater and intergenerational equity </w:t>
      </w:r>
      <w:r w:rsidR="00EB1AA6">
        <w:rPr>
          <w:spacing w:val="-4"/>
        </w:rPr>
        <w:t>("Land Court's first decision")</w:t>
      </w:r>
      <w:r w:rsidR="008A2047">
        <w:rPr>
          <w:spacing w:val="-4"/>
        </w:rPr>
        <w:t>. On judicial review, the Supreme Court of Queensla</w:t>
      </w:r>
      <w:r w:rsidR="00E256D3">
        <w:rPr>
          <w:spacing w:val="-4"/>
        </w:rPr>
        <w:t>nd rejected</w:t>
      </w:r>
      <w:r w:rsidR="00554C16">
        <w:rPr>
          <w:spacing w:val="-4"/>
        </w:rPr>
        <w:t xml:space="preserve"> New Acland's</w:t>
      </w:r>
      <w:r w:rsidR="00E256D3">
        <w:rPr>
          <w:spacing w:val="-4"/>
        </w:rPr>
        <w:t xml:space="preserve"> arguments that </w:t>
      </w:r>
      <w:r w:rsidR="00B77EFC">
        <w:rPr>
          <w:spacing w:val="-4"/>
        </w:rPr>
        <w:t xml:space="preserve">the </w:t>
      </w:r>
      <w:r w:rsidR="000E5210">
        <w:rPr>
          <w:spacing w:val="-4"/>
        </w:rPr>
        <w:t>M</w:t>
      </w:r>
      <w:r w:rsidR="00E256D3">
        <w:rPr>
          <w:spacing w:val="-4"/>
        </w:rPr>
        <w:t xml:space="preserve">ember's conduct during the hearing gave rise to apprehended </w:t>
      </w:r>
      <w:proofErr w:type="gramStart"/>
      <w:r w:rsidR="00E256D3">
        <w:rPr>
          <w:spacing w:val="-4"/>
        </w:rPr>
        <w:t>bias, but</w:t>
      </w:r>
      <w:proofErr w:type="gramEnd"/>
      <w:r w:rsidR="00E256D3">
        <w:rPr>
          <w:spacing w:val="-4"/>
        </w:rPr>
        <w:t xml:space="preserve"> held that the recommendations were affected by errors of law</w:t>
      </w:r>
      <w:r w:rsidR="00A706C1">
        <w:rPr>
          <w:spacing w:val="-4"/>
        </w:rPr>
        <w:t xml:space="preserve"> and</w:t>
      </w:r>
      <w:r w:rsidR="001A25AF">
        <w:rPr>
          <w:spacing w:val="-4"/>
        </w:rPr>
        <w:t xml:space="preserve"> </w:t>
      </w:r>
      <w:r w:rsidR="00E256D3">
        <w:rPr>
          <w:spacing w:val="-4"/>
        </w:rPr>
        <w:t xml:space="preserve">that </w:t>
      </w:r>
      <w:r w:rsidR="00B77EFC">
        <w:rPr>
          <w:spacing w:val="-4"/>
        </w:rPr>
        <w:t>certain matters</w:t>
      </w:r>
      <w:r w:rsidR="00A706C1">
        <w:rPr>
          <w:spacing w:val="-4"/>
        </w:rPr>
        <w:t xml:space="preserve"> should</w:t>
      </w:r>
      <w:r w:rsidR="00B77EFC">
        <w:rPr>
          <w:spacing w:val="-4"/>
        </w:rPr>
        <w:t xml:space="preserve"> </w:t>
      </w:r>
      <w:r w:rsidR="00E256D3">
        <w:rPr>
          <w:spacing w:val="-4"/>
        </w:rPr>
        <w:t>be referred back to the Land Court for further consideration</w:t>
      </w:r>
      <w:r w:rsidR="000E5210">
        <w:rPr>
          <w:spacing w:val="-4"/>
        </w:rPr>
        <w:t xml:space="preserve"> by a different Member</w:t>
      </w:r>
      <w:r w:rsidR="00E256D3">
        <w:rPr>
          <w:spacing w:val="-4"/>
        </w:rPr>
        <w:t xml:space="preserve">. </w:t>
      </w:r>
      <w:r w:rsidR="00554C16">
        <w:rPr>
          <w:spacing w:val="-4"/>
        </w:rPr>
        <w:t xml:space="preserve">In remitting matters to the Land Court for reconsideration, the Supreme Court </w:t>
      </w:r>
      <w:r w:rsidR="001C3051">
        <w:rPr>
          <w:spacing w:val="-4"/>
        </w:rPr>
        <w:t>directed that the parties were bound by the findings and conclusions reached</w:t>
      </w:r>
      <w:r w:rsidR="00EB1AA6">
        <w:rPr>
          <w:spacing w:val="-4"/>
        </w:rPr>
        <w:t xml:space="preserve"> in the Land Court's first decision on all issues other than those affected by errors of law</w:t>
      </w:r>
      <w:r w:rsidR="000E5210">
        <w:rPr>
          <w:spacing w:val="-4"/>
        </w:rPr>
        <w:t xml:space="preserve">, and </w:t>
      </w:r>
      <w:r w:rsidR="00A579BF">
        <w:rPr>
          <w:spacing w:val="-4"/>
        </w:rPr>
        <w:t xml:space="preserve">also </w:t>
      </w:r>
      <w:r w:rsidR="000E5210">
        <w:rPr>
          <w:spacing w:val="-4"/>
        </w:rPr>
        <w:t>by the factual findings made in relation to noise</w:t>
      </w:r>
      <w:r w:rsidR="00EB1AA6">
        <w:rPr>
          <w:spacing w:val="-4"/>
        </w:rPr>
        <w:t>.</w:t>
      </w:r>
    </w:p>
    <w:p w14:paraId="4182F89A" w14:textId="77777777" w:rsidR="007D6BAA" w:rsidRPr="00880AAA" w:rsidRDefault="007D6BAA">
      <w:pPr>
        <w:pStyle w:val="BodyText"/>
        <w:kinsoku w:val="0"/>
        <w:overflowPunct w:val="0"/>
        <w:ind w:left="103" w:right="178"/>
        <w:jc w:val="both"/>
        <w:rPr>
          <w:spacing w:val="-4"/>
          <w:sz w:val="20"/>
          <w:szCs w:val="20"/>
        </w:rPr>
      </w:pPr>
    </w:p>
    <w:p w14:paraId="5888081B" w14:textId="35C88122" w:rsidR="00E256D3" w:rsidRPr="00A579BF" w:rsidRDefault="00B77EFC">
      <w:pPr>
        <w:pStyle w:val="BodyText"/>
        <w:kinsoku w:val="0"/>
        <w:overflowPunct w:val="0"/>
        <w:ind w:left="103" w:right="178"/>
        <w:jc w:val="both"/>
        <w:rPr>
          <w:b/>
          <w:bCs/>
          <w:spacing w:val="-4"/>
        </w:rPr>
      </w:pPr>
      <w:r>
        <w:rPr>
          <w:spacing w:val="-4"/>
        </w:rPr>
        <w:t xml:space="preserve">Following reconsideration by a different </w:t>
      </w:r>
      <w:r w:rsidR="000E5210">
        <w:rPr>
          <w:spacing w:val="-4"/>
        </w:rPr>
        <w:t>M</w:t>
      </w:r>
      <w:r>
        <w:rPr>
          <w:spacing w:val="-4"/>
        </w:rPr>
        <w:t xml:space="preserve">ember, </w:t>
      </w:r>
      <w:r w:rsidR="00E256D3">
        <w:rPr>
          <w:spacing w:val="-4"/>
        </w:rPr>
        <w:t>the Land Court made recommendations that New Acland's applications for mining leases and an amendment to its environmental authority be approved</w:t>
      </w:r>
      <w:r w:rsidR="00554C16">
        <w:rPr>
          <w:spacing w:val="-4"/>
        </w:rPr>
        <w:t xml:space="preserve"> subject to conditions</w:t>
      </w:r>
      <w:r w:rsidR="00E256D3">
        <w:rPr>
          <w:spacing w:val="-4"/>
        </w:rPr>
        <w:t xml:space="preserve"> </w:t>
      </w:r>
      <w:r w:rsidR="00EB1AA6">
        <w:rPr>
          <w:spacing w:val="-4"/>
        </w:rPr>
        <w:t>("Land Court's second dec</w:t>
      </w:r>
      <w:r w:rsidR="004E561C">
        <w:rPr>
          <w:spacing w:val="-4"/>
        </w:rPr>
        <w:t>ision")</w:t>
      </w:r>
      <w:r w:rsidR="00E256D3">
        <w:rPr>
          <w:spacing w:val="-4"/>
        </w:rPr>
        <w:t>.</w:t>
      </w:r>
      <w:r w:rsidR="007A6728">
        <w:rPr>
          <w:spacing w:val="-4"/>
        </w:rPr>
        <w:t xml:space="preserve"> </w:t>
      </w:r>
      <w:r w:rsidR="00A579BF" w:rsidRPr="00A579BF">
        <w:rPr>
          <w:spacing w:val="-4"/>
        </w:rPr>
        <w:t xml:space="preserve">The amendment to New Acland's environmental authority was subsequently </w:t>
      </w:r>
      <w:r w:rsidR="006F4D32">
        <w:rPr>
          <w:spacing w:val="-4"/>
        </w:rPr>
        <w:t>granted</w:t>
      </w:r>
      <w:r w:rsidR="00A579BF" w:rsidRPr="00A579BF">
        <w:rPr>
          <w:spacing w:val="-4"/>
        </w:rPr>
        <w:t xml:space="preserve"> by a delegate of the Chief Executive of the Department of Environment and Science ("Chief Executive").</w:t>
      </w:r>
      <w:r w:rsidR="00A579BF">
        <w:rPr>
          <w:b/>
          <w:bCs/>
          <w:spacing w:val="-4"/>
        </w:rPr>
        <w:t xml:space="preserve"> </w:t>
      </w:r>
      <w:r w:rsidR="007D6BAA">
        <w:rPr>
          <w:spacing w:val="-4"/>
        </w:rPr>
        <w:t>On appeal</w:t>
      </w:r>
      <w:r w:rsidR="004368D1">
        <w:rPr>
          <w:spacing w:val="-4"/>
        </w:rPr>
        <w:t xml:space="preserve"> from the Supreme Court's decision</w:t>
      </w:r>
      <w:r w:rsidR="007D6BAA">
        <w:rPr>
          <w:spacing w:val="-4"/>
        </w:rPr>
        <w:t xml:space="preserve">, the Court of Appeal allowed </w:t>
      </w:r>
      <w:r w:rsidR="002422B9">
        <w:rPr>
          <w:spacing w:val="-4"/>
        </w:rPr>
        <w:t xml:space="preserve">a cross-appeal by </w:t>
      </w:r>
      <w:r w:rsidR="007D6BAA">
        <w:rPr>
          <w:spacing w:val="-4"/>
        </w:rPr>
        <w:t>New Acland</w:t>
      </w:r>
      <w:r>
        <w:rPr>
          <w:spacing w:val="-4"/>
        </w:rPr>
        <w:t>, holding</w:t>
      </w:r>
      <w:r w:rsidR="002422B9">
        <w:rPr>
          <w:spacing w:val="-4"/>
        </w:rPr>
        <w:t xml:space="preserve"> </w:t>
      </w:r>
      <w:r w:rsidR="00A706C1">
        <w:rPr>
          <w:spacing w:val="-4"/>
        </w:rPr>
        <w:t>that</w:t>
      </w:r>
      <w:r w:rsidR="00554C16">
        <w:rPr>
          <w:spacing w:val="-4"/>
        </w:rPr>
        <w:t xml:space="preserve"> </w:t>
      </w:r>
      <w:r w:rsidR="007D6BAA">
        <w:rPr>
          <w:spacing w:val="-4"/>
        </w:rPr>
        <w:t xml:space="preserve">the recommendations made </w:t>
      </w:r>
      <w:r w:rsidR="004E561C">
        <w:rPr>
          <w:spacing w:val="-4"/>
        </w:rPr>
        <w:t>in</w:t>
      </w:r>
      <w:r w:rsidR="007D6BAA">
        <w:rPr>
          <w:spacing w:val="-4"/>
        </w:rPr>
        <w:t xml:space="preserve"> the Land Court</w:t>
      </w:r>
      <w:r w:rsidR="004E561C">
        <w:rPr>
          <w:spacing w:val="-4"/>
        </w:rPr>
        <w:t>'s first decision</w:t>
      </w:r>
      <w:r w:rsidR="007D6BAA">
        <w:rPr>
          <w:spacing w:val="-4"/>
        </w:rPr>
        <w:t xml:space="preserve"> were affected by apprehended bias. However, rather than setting aside the qualified order for referral back made by the Supreme Court and remitting the matter to the Land Court for full reconsideration, the Court of Appeal made consequential orders limited to a declaration that the Land Court failed to observe procedural fairness </w:t>
      </w:r>
      <w:r w:rsidR="00E36582">
        <w:rPr>
          <w:spacing w:val="-4"/>
        </w:rPr>
        <w:t>in making the first decision</w:t>
      </w:r>
      <w:r>
        <w:rPr>
          <w:spacing w:val="-4"/>
        </w:rPr>
        <w:t>.</w:t>
      </w:r>
    </w:p>
    <w:p w14:paraId="75ABDDAE" w14:textId="77777777" w:rsidR="00B77EFC" w:rsidRPr="00880AAA" w:rsidRDefault="00B77EFC">
      <w:pPr>
        <w:pStyle w:val="BodyText"/>
        <w:kinsoku w:val="0"/>
        <w:overflowPunct w:val="0"/>
        <w:ind w:left="103" w:right="178"/>
        <w:jc w:val="both"/>
        <w:rPr>
          <w:spacing w:val="-4"/>
          <w:sz w:val="20"/>
          <w:szCs w:val="20"/>
        </w:rPr>
      </w:pPr>
    </w:p>
    <w:p w14:paraId="5D644F4D" w14:textId="1299CF04" w:rsidR="0047585E" w:rsidRDefault="0047585E">
      <w:pPr>
        <w:pStyle w:val="BodyText"/>
        <w:kinsoku w:val="0"/>
        <w:overflowPunct w:val="0"/>
        <w:ind w:left="103" w:right="178"/>
        <w:jc w:val="both"/>
        <w:rPr>
          <w:spacing w:val="-4"/>
        </w:rPr>
      </w:pPr>
      <w:r>
        <w:rPr>
          <w:spacing w:val="-4"/>
        </w:rPr>
        <w:t>Following a grant of special leave to appeal to the High Court, Oakey</w:t>
      </w:r>
      <w:r w:rsidR="006303C6">
        <w:rPr>
          <w:spacing w:val="-4"/>
        </w:rPr>
        <w:t xml:space="preserve"> </w:t>
      </w:r>
      <w:r w:rsidR="009341D3">
        <w:rPr>
          <w:spacing w:val="-4"/>
        </w:rPr>
        <w:t>argu</w:t>
      </w:r>
      <w:r>
        <w:rPr>
          <w:spacing w:val="-4"/>
        </w:rPr>
        <w:t xml:space="preserve">ed </w:t>
      </w:r>
      <w:r w:rsidR="009341D3">
        <w:rPr>
          <w:spacing w:val="-4"/>
        </w:rPr>
        <w:t>that</w:t>
      </w:r>
      <w:r w:rsidR="000C0F68">
        <w:rPr>
          <w:spacing w:val="-4"/>
        </w:rPr>
        <w:t xml:space="preserve"> </w:t>
      </w:r>
      <w:r>
        <w:rPr>
          <w:spacing w:val="-4"/>
        </w:rPr>
        <w:t xml:space="preserve">as </w:t>
      </w:r>
      <w:r w:rsidR="000C0F68">
        <w:rPr>
          <w:spacing w:val="-4"/>
        </w:rPr>
        <w:t>t</w:t>
      </w:r>
      <w:r w:rsidR="00A452E3">
        <w:rPr>
          <w:spacing w:val="-4"/>
        </w:rPr>
        <w:t>he Land Court</w:t>
      </w:r>
      <w:r w:rsidR="009341D3">
        <w:rPr>
          <w:spacing w:val="-4"/>
        </w:rPr>
        <w:t>'s second decision</w:t>
      </w:r>
      <w:r w:rsidR="00A452E3">
        <w:rPr>
          <w:spacing w:val="-4"/>
        </w:rPr>
        <w:t xml:space="preserve"> </w:t>
      </w:r>
      <w:r w:rsidR="000C0F68">
        <w:rPr>
          <w:spacing w:val="-4"/>
        </w:rPr>
        <w:t>was</w:t>
      </w:r>
      <w:r w:rsidR="00A452E3">
        <w:rPr>
          <w:spacing w:val="-4"/>
        </w:rPr>
        <w:t xml:space="preserve"> affected by the same apprehended bias found by the Court of Appeal to have affected </w:t>
      </w:r>
      <w:r w:rsidR="003476D1">
        <w:rPr>
          <w:spacing w:val="-4"/>
        </w:rPr>
        <w:t>the Land Court's</w:t>
      </w:r>
      <w:r w:rsidR="00A452E3">
        <w:rPr>
          <w:spacing w:val="-4"/>
        </w:rPr>
        <w:t xml:space="preserve"> first decision, </w:t>
      </w:r>
      <w:r w:rsidR="00B05904">
        <w:rPr>
          <w:spacing w:val="-4"/>
        </w:rPr>
        <w:t xml:space="preserve">being based in part on the first decision-maker's findings and conclusions, </w:t>
      </w:r>
      <w:r w:rsidR="006303C6">
        <w:rPr>
          <w:spacing w:val="-4"/>
        </w:rPr>
        <w:t>the Court of Appeal should have set aside</w:t>
      </w:r>
      <w:r w:rsidR="009341D3">
        <w:rPr>
          <w:spacing w:val="-4"/>
        </w:rPr>
        <w:t xml:space="preserve"> </w:t>
      </w:r>
      <w:r w:rsidR="000C0F68">
        <w:rPr>
          <w:spacing w:val="-4"/>
        </w:rPr>
        <w:t xml:space="preserve">the </w:t>
      </w:r>
      <w:r w:rsidR="009341D3">
        <w:rPr>
          <w:spacing w:val="-4"/>
        </w:rPr>
        <w:t>Land Court's second decision</w:t>
      </w:r>
      <w:r w:rsidR="000C0F68">
        <w:rPr>
          <w:spacing w:val="-4"/>
        </w:rPr>
        <w:t xml:space="preserve"> and</w:t>
      </w:r>
      <w:r w:rsidR="009341D3">
        <w:rPr>
          <w:spacing w:val="-4"/>
        </w:rPr>
        <w:t xml:space="preserve"> the Chief Executive's </w:t>
      </w:r>
      <w:r w:rsidR="00A706C1">
        <w:rPr>
          <w:spacing w:val="-4"/>
        </w:rPr>
        <w:t xml:space="preserve">subsequent </w:t>
      </w:r>
      <w:r w:rsidR="009341D3">
        <w:rPr>
          <w:spacing w:val="-4"/>
        </w:rPr>
        <w:t>decision</w:t>
      </w:r>
      <w:r w:rsidR="00554C16">
        <w:rPr>
          <w:spacing w:val="-4"/>
        </w:rPr>
        <w:t xml:space="preserve"> to approve the variation to New Acland's environmental authority</w:t>
      </w:r>
      <w:r w:rsidR="009341D3">
        <w:rPr>
          <w:spacing w:val="-4"/>
        </w:rPr>
        <w:t xml:space="preserve">. The </w:t>
      </w:r>
      <w:r w:rsidR="00A579BF">
        <w:rPr>
          <w:spacing w:val="-4"/>
        </w:rPr>
        <w:t xml:space="preserve">High </w:t>
      </w:r>
      <w:r w:rsidR="009341D3">
        <w:rPr>
          <w:spacing w:val="-4"/>
        </w:rPr>
        <w:t>Court held that by adopting the findings and conclusions in the Land Court's first decision, the Land Court's second decision</w:t>
      </w:r>
      <w:r>
        <w:rPr>
          <w:spacing w:val="-4"/>
        </w:rPr>
        <w:t xml:space="preserve"> involved jurisdictional error </w:t>
      </w:r>
      <w:r w:rsidR="00554C16">
        <w:rPr>
          <w:spacing w:val="-4"/>
        </w:rPr>
        <w:t xml:space="preserve">in that </w:t>
      </w:r>
      <w:r>
        <w:rPr>
          <w:spacing w:val="-4"/>
        </w:rPr>
        <w:t>it</w:t>
      </w:r>
      <w:r w:rsidR="006303C6">
        <w:rPr>
          <w:spacing w:val="-4"/>
        </w:rPr>
        <w:t xml:space="preserve"> failed to observe the requirements of procedural fairness </w:t>
      </w:r>
      <w:r w:rsidR="009465EF">
        <w:rPr>
          <w:spacing w:val="-4"/>
        </w:rPr>
        <w:t>by reason of</w:t>
      </w:r>
      <w:r w:rsidR="006303C6">
        <w:rPr>
          <w:spacing w:val="-4"/>
        </w:rPr>
        <w:t xml:space="preserve"> apprehended bias</w:t>
      </w:r>
      <w:r>
        <w:rPr>
          <w:spacing w:val="-4"/>
        </w:rPr>
        <w:t>. Accordingly, the Court made orders setting aside the</w:t>
      </w:r>
      <w:r w:rsidR="007C6352">
        <w:rPr>
          <w:spacing w:val="-4"/>
        </w:rPr>
        <w:t xml:space="preserve"> declaration made by the Court of Appeal and in its place order</w:t>
      </w:r>
      <w:r w:rsidR="00E36582">
        <w:rPr>
          <w:spacing w:val="-4"/>
        </w:rPr>
        <w:t>ed</w:t>
      </w:r>
      <w:r w:rsidR="007C6352">
        <w:rPr>
          <w:spacing w:val="-4"/>
        </w:rPr>
        <w:t xml:space="preserve"> that the qualified order for referral back made by the Supreme Court be set aside, that New Acland's applications be referred back to the Land Court to be reconsidered according to law, and that the decision of the delegate of the Chief Executive be set aside</w:t>
      </w:r>
      <w:r>
        <w:rPr>
          <w:spacing w:val="-4"/>
        </w:rPr>
        <w:t>.</w:t>
      </w:r>
      <w:r w:rsidR="002422B9">
        <w:rPr>
          <w:spacing w:val="-4"/>
        </w:rPr>
        <w:t xml:space="preserve"> </w:t>
      </w:r>
    </w:p>
    <w:p w14:paraId="31A799DB" w14:textId="05C63264" w:rsidR="008952FF" w:rsidRDefault="008952FF">
      <w:pPr>
        <w:pStyle w:val="BodyText"/>
        <w:kinsoku w:val="0"/>
        <w:overflowPunct w:val="0"/>
        <w:ind w:left="103" w:right="178"/>
        <w:jc w:val="both"/>
        <w:rPr>
          <w:spacing w:val="-4"/>
        </w:rPr>
      </w:pPr>
    </w:p>
    <w:p w14:paraId="1F87D2EA" w14:textId="38B31168" w:rsidR="008952FF" w:rsidRDefault="008952FF">
      <w:pPr>
        <w:pStyle w:val="BodyText"/>
        <w:kinsoku w:val="0"/>
        <w:overflowPunct w:val="0"/>
        <w:ind w:left="103" w:right="178"/>
        <w:jc w:val="both"/>
        <w:rPr>
          <w:spacing w:val="-4"/>
        </w:rPr>
      </w:pPr>
    </w:p>
    <w:p w14:paraId="48AF97AD" w14:textId="77777777" w:rsidR="008952FF" w:rsidRPr="0047585E" w:rsidRDefault="008952FF">
      <w:pPr>
        <w:pStyle w:val="BodyText"/>
        <w:kinsoku w:val="0"/>
        <w:overflowPunct w:val="0"/>
        <w:ind w:left="103" w:right="178"/>
        <w:jc w:val="both"/>
        <w:rPr>
          <w:spacing w:val="-4"/>
        </w:rPr>
      </w:pPr>
    </w:p>
    <w:p w14:paraId="6C4316CF" w14:textId="77777777" w:rsidR="00282F27" w:rsidRDefault="00282F27">
      <w:pPr>
        <w:pStyle w:val="ListParagraph"/>
        <w:numPr>
          <w:ilvl w:val="0"/>
          <w:numId w:val="1"/>
        </w:numPr>
        <w:tabs>
          <w:tab w:val="left" w:pos="464"/>
        </w:tabs>
        <w:kinsoku w:val="0"/>
        <w:overflowPunct w:val="0"/>
        <w:ind w:hanging="360"/>
        <w:rPr>
          <w:i/>
          <w:iCs/>
          <w:sz w:val="22"/>
          <w:szCs w:val="22"/>
        </w:rPr>
      </w:pPr>
      <w:r>
        <w:rPr>
          <w:i/>
          <w:iCs/>
          <w:sz w:val="22"/>
          <w:szCs w:val="22"/>
        </w:rPr>
        <w:t>This</w:t>
      </w:r>
      <w:r>
        <w:rPr>
          <w:i/>
          <w:iCs/>
          <w:spacing w:val="-2"/>
          <w:sz w:val="22"/>
          <w:szCs w:val="22"/>
        </w:rPr>
        <w:t xml:space="preserve"> </w:t>
      </w:r>
      <w:r>
        <w:rPr>
          <w:i/>
          <w:iCs/>
          <w:sz w:val="22"/>
          <w:szCs w:val="22"/>
        </w:rPr>
        <w:t>statement</w:t>
      </w:r>
      <w:r>
        <w:rPr>
          <w:i/>
          <w:iCs/>
          <w:spacing w:val="-2"/>
          <w:sz w:val="22"/>
          <w:szCs w:val="22"/>
        </w:rPr>
        <w:t xml:space="preserve"> </w:t>
      </w:r>
      <w:r>
        <w:rPr>
          <w:i/>
          <w:iCs/>
          <w:sz w:val="22"/>
          <w:szCs w:val="22"/>
        </w:rPr>
        <w:t>is</w:t>
      </w:r>
      <w:r>
        <w:rPr>
          <w:i/>
          <w:iCs/>
          <w:spacing w:val="-2"/>
          <w:sz w:val="22"/>
          <w:szCs w:val="22"/>
        </w:rPr>
        <w:t xml:space="preserve"> </w:t>
      </w:r>
      <w:r>
        <w:rPr>
          <w:i/>
          <w:iCs/>
          <w:sz w:val="22"/>
          <w:szCs w:val="22"/>
        </w:rPr>
        <w:t>not</w:t>
      </w:r>
      <w:r>
        <w:rPr>
          <w:i/>
          <w:iCs/>
          <w:spacing w:val="-2"/>
          <w:sz w:val="22"/>
          <w:szCs w:val="22"/>
        </w:rPr>
        <w:t xml:space="preserve"> </w:t>
      </w:r>
      <w:r>
        <w:rPr>
          <w:i/>
          <w:iCs/>
          <w:sz w:val="22"/>
          <w:szCs w:val="22"/>
        </w:rPr>
        <w:t>intended</w:t>
      </w:r>
      <w:r>
        <w:rPr>
          <w:i/>
          <w:iCs/>
          <w:spacing w:val="-3"/>
          <w:sz w:val="22"/>
          <w:szCs w:val="22"/>
        </w:rPr>
        <w:t xml:space="preserve"> </w:t>
      </w:r>
      <w:r>
        <w:rPr>
          <w:i/>
          <w:iCs/>
          <w:sz w:val="22"/>
          <w:szCs w:val="22"/>
        </w:rPr>
        <w:t>to</w:t>
      </w:r>
      <w:r>
        <w:rPr>
          <w:i/>
          <w:iCs/>
          <w:spacing w:val="-3"/>
          <w:sz w:val="22"/>
          <w:szCs w:val="22"/>
        </w:rPr>
        <w:t xml:space="preserve"> </w:t>
      </w:r>
      <w:r>
        <w:rPr>
          <w:i/>
          <w:iCs/>
          <w:sz w:val="22"/>
          <w:szCs w:val="22"/>
        </w:rPr>
        <w:t>be</w:t>
      </w:r>
      <w:r>
        <w:rPr>
          <w:i/>
          <w:iCs/>
          <w:spacing w:val="-2"/>
          <w:sz w:val="22"/>
          <w:szCs w:val="22"/>
        </w:rPr>
        <w:t xml:space="preserve"> </w:t>
      </w:r>
      <w:r>
        <w:rPr>
          <w:i/>
          <w:iCs/>
          <w:sz w:val="22"/>
          <w:szCs w:val="22"/>
        </w:rPr>
        <w:t>a</w:t>
      </w:r>
      <w:r>
        <w:rPr>
          <w:i/>
          <w:iCs/>
          <w:spacing w:val="-2"/>
          <w:sz w:val="22"/>
          <w:szCs w:val="22"/>
        </w:rPr>
        <w:t xml:space="preserve"> </w:t>
      </w:r>
      <w:r>
        <w:rPr>
          <w:i/>
          <w:iCs/>
          <w:sz w:val="22"/>
          <w:szCs w:val="22"/>
        </w:rPr>
        <w:t>substitute</w:t>
      </w:r>
      <w:r>
        <w:rPr>
          <w:i/>
          <w:iCs/>
          <w:spacing w:val="-2"/>
          <w:sz w:val="22"/>
          <w:szCs w:val="22"/>
        </w:rPr>
        <w:t xml:space="preserve"> </w:t>
      </w:r>
      <w:r>
        <w:rPr>
          <w:i/>
          <w:iCs/>
          <w:sz w:val="22"/>
          <w:szCs w:val="22"/>
        </w:rPr>
        <w:t>for</w:t>
      </w:r>
      <w:r>
        <w:rPr>
          <w:i/>
          <w:iCs/>
          <w:spacing w:val="-2"/>
          <w:sz w:val="22"/>
          <w:szCs w:val="22"/>
        </w:rPr>
        <w:t xml:space="preserve"> </w:t>
      </w:r>
      <w:r>
        <w:rPr>
          <w:i/>
          <w:iCs/>
          <w:sz w:val="22"/>
          <w:szCs w:val="22"/>
        </w:rPr>
        <w:t>the</w:t>
      </w:r>
      <w:r>
        <w:rPr>
          <w:i/>
          <w:iCs/>
          <w:spacing w:val="-5"/>
          <w:sz w:val="22"/>
          <w:szCs w:val="22"/>
        </w:rPr>
        <w:t xml:space="preserve"> </w:t>
      </w:r>
      <w:r>
        <w:rPr>
          <w:i/>
          <w:iCs/>
          <w:sz w:val="22"/>
          <w:szCs w:val="22"/>
        </w:rPr>
        <w:t>reasons</w:t>
      </w:r>
      <w:r>
        <w:rPr>
          <w:i/>
          <w:iCs/>
          <w:spacing w:val="-2"/>
          <w:sz w:val="22"/>
          <w:szCs w:val="22"/>
        </w:rPr>
        <w:t xml:space="preserve"> </w:t>
      </w:r>
      <w:r>
        <w:rPr>
          <w:i/>
          <w:iCs/>
          <w:sz w:val="22"/>
          <w:szCs w:val="22"/>
        </w:rPr>
        <w:t>of</w:t>
      </w:r>
      <w:r>
        <w:rPr>
          <w:i/>
          <w:iCs/>
          <w:spacing w:val="-2"/>
          <w:sz w:val="22"/>
          <w:szCs w:val="22"/>
        </w:rPr>
        <w:t xml:space="preserve"> </w:t>
      </w:r>
      <w:r>
        <w:rPr>
          <w:i/>
          <w:iCs/>
          <w:sz w:val="22"/>
          <w:szCs w:val="22"/>
        </w:rPr>
        <w:t>the</w:t>
      </w:r>
      <w:r>
        <w:rPr>
          <w:i/>
          <w:iCs/>
          <w:spacing w:val="-2"/>
          <w:sz w:val="22"/>
          <w:szCs w:val="22"/>
        </w:rPr>
        <w:t xml:space="preserve"> </w:t>
      </w:r>
      <w:r>
        <w:rPr>
          <w:i/>
          <w:iCs/>
          <w:sz w:val="22"/>
          <w:szCs w:val="22"/>
        </w:rPr>
        <w:t>High</w:t>
      </w:r>
      <w:r>
        <w:rPr>
          <w:i/>
          <w:iCs/>
          <w:spacing w:val="-2"/>
          <w:sz w:val="22"/>
          <w:szCs w:val="22"/>
        </w:rPr>
        <w:t xml:space="preserve"> </w:t>
      </w:r>
      <w:r>
        <w:rPr>
          <w:i/>
          <w:iCs/>
          <w:sz w:val="22"/>
          <w:szCs w:val="22"/>
        </w:rPr>
        <w:t>Court</w:t>
      </w:r>
      <w:r>
        <w:rPr>
          <w:i/>
          <w:iCs/>
          <w:spacing w:val="-2"/>
          <w:sz w:val="22"/>
          <w:szCs w:val="22"/>
        </w:rPr>
        <w:t xml:space="preserve"> </w:t>
      </w:r>
      <w:r>
        <w:rPr>
          <w:i/>
          <w:iCs/>
          <w:sz w:val="22"/>
          <w:szCs w:val="22"/>
        </w:rPr>
        <w:t>or</w:t>
      </w:r>
      <w:r>
        <w:rPr>
          <w:i/>
          <w:iCs/>
          <w:spacing w:val="-2"/>
          <w:sz w:val="22"/>
          <w:szCs w:val="22"/>
        </w:rPr>
        <w:t xml:space="preserve"> </w:t>
      </w:r>
      <w:r>
        <w:rPr>
          <w:i/>
          <w:iCs/>
          <w:sz w:val="22"/>
          <w:szCs w:val="22"/>
        </w:rPr>
        <w:t>to</w:t>
      </w:r>
      <w:r>
        <w:rPr>
          <w:i/>
          <w:iCs/>
          <w:spacing w:val="-3"/>
          <w:sz w:val="22"/>
          <w:szCs w:val="22"/>
        </w:rPr>
        <w:t xml:space="preserve"> </w:t>
      </w:r>
      <w:r>
        <w:rPr>
          <w:i/>
          <w:iCs/>
          <w:sz w:val="22"/>
          <w:szCs w:val="22"/>
        </w:rPr>
        <w:t>be</w:t>
      </w:r>
      <w:r>
        <w:rPr>
          <w:i/>
          <w:iCs/>
          <w:spacing w:val="-2"/>
          <w:sz w:val="22"/>
          <w:szCs w:val="22"/>
        </w:rPr>
        <w:t xml:space="preserve"> </w:t>
      </w:r>
      <w:r>
        <w:rPr>
          <w:i/>
          <w:iCs/>
          <w:sz w:val="22"/>
          <w:szCs w:val="22"/>
        </w:rPr>
        <w:t>used</w:t>
      </w:r>
      <w:r>
        <w:rPr>
          <w:i/>
          <w:iCs/>
          <w:spacing w:val="-5"/>
          <w:sz w:val="22"/>
          <w:szCs w:val="22"/>
        </w:rPr>
        <w:t xml:space="preserve"> </w:t>
      </w:r>
      <w:r>
        <w:rPr>
          <w:i/>
          <w:iCs/>
          <w:sz w:val="22"/>
          <w:szCs w:val="22"/>
        </w:rPr>
        <w:t>in</w:t>
      </w:r>
      <w:r>
        <w:rPr>
          <w:i/>
          <w:iCs/>
          <w:spacing w:val="-3"/>
          <w:sz w:val="22"/>
          <w:szCs w:val="22"/>
        </w:rPr>
        <w:t xml:space="preserve"> </w:t>
      </w:r>
      <w:r>
        <w:rPr>
          <w:i/>
          <w:iCs/>
          <w:sz w:val="22"/>
          <w:szCs w:val="22"/>
        </w:rPr>
        <w:t>any later consideration of the Court’s reasons.</w:t>
      </w:r>
    </w:p>
    <w:p w14:paraId="64CEFB3C" w14:textId="77777777" w:rsidR="00282F27" w:rsidRDefault="00282F27">
      <w:pPr>
        <w:pStyle w:val="BodyText"/>
        <w:tabs>
          <w:tab w:val="left" w:pos="4307"/>
        </w:tabs>
        <w:kinsoku w:val="0"/>
        <w:overflowPunct w:val="0"/>
        <w:spacing w:before="146"/>
        <w:ind w:left="1879" w:right="2240"/>
        <w:jc w:val="center"/>
        <w:rPr>
          <w:rFonts w:ascii="Arial" w:hAnsi="Arial" w:cs="Arial"/>
          <w:b/>
          <w:bCs/>
          <w:sz w:val="16"/>
          <w:szCs w:val="16"/>
        </w:rPr>
      </w:pPr>
      <w:r>
        <w:rPr>
          <w:rFonts w:ascii="Arial" w:hAnsi="Arial" w:cs="Arial"/>
          <w:b/>
          <w:bCs/>
          <w:sz w:val="16"/>
          <w:szCs w:val="16"/>
        </w:rPr>
        <w:lastRenderedPageBreak/>
        <w:t>Please direct enquiries to Ben Wickham, Senior Executive Deputy</w:t>
      </w:r>
      <w:r>
        <w:rPr>
          <w:rFonts w:ascii="Arial" w:hAnsi="Arial" w:cs="Arial"/>
          <w:b/>
          <w:bCs/>
          <w:spacing w:val="-29"/>
          <w:sz w:val="16"/>
          <w:szCs w:val="16"/>
        </w:rPr>
        <w:t xml:space="preserve"> </w:t>
      </w:r>
      <w:r>
        <w:rPr>
          <w:rFonts w:ascii="Arial" w:hAnsi="Arial" w:cs="Arial"/>
          <w:b/>
          <w:bCs/>
          <w:sz w:val="16"/>
          <w:szCs w:val="16"/>
        </w:rPr>
        <w:t>Registrar Telephone: (02)</w:t>
      </w:r>
      <w:r>
        <w:rPr>
          <w:rFonts w:ascii="Arial" w:hAnsi="Arial" w:cs="Arial"/>
          <w:b/>
          <w:bCs/>
          <w:spacing w:val="-3"/>
          <w:sz w:val="16"/>
          <w:szCs w:val="16"/>
        </w:rPr>
        <w:t xml:space="preserve"> </w:t>
      </w:r>
      <w:r>
        <w:rPr>
          <w:rFonts w:ascii="Arial" w:hAnsi="Arial" w:cs="Arial"/>
          <w:b/>
          <w:bCs/>
          <w:sz w:val="16"/>
          <w:szCs w:val="16"/>
        </w:rPr>
        <w:t>6270</w:t>
      </w:r>
      <w:r>
        <w:rPr>
          <w:rFonts w:ascii="Arial" w:hAnsi="Arial" w:cs="Arial"/>
          <w:b/>
          <w:bCs/>
          <w:spacing w:val="-1"/>
          <w:sz w:val="16"/>
          <w:szCs w:val="16"/>
        </w:rPr>
        <w:t xml:space="preserve"> </w:t>
      </w:r>
      <w:r>
        <w:rPr>
          <w:rFonts w:ascii="Arial" w:hAnsi="Arial" w:cs="Arial"/>
          <w:b/>
          <w:bCs/>
          <w:sz w:val="16"/>
          <w:szCs w:val="16"/>
        </w:rPr>
        <w:t>6893</w:t>
      </w:r>
      <w:r>
        <w:rPr>
          <w:rFonts w:ascii="Arial" w:hAnsi="Arial" w:cs="Arial"/>
          <w:b/>
          <w:bCs/>
          <w:sz w:val="16"/>
          <w:szCs w:val="16"/>
        </w:rPr>
        <w:tab/>
        <w:t>Fax: (02) 6270</w:t>
      </w:r>
      <w:r>
        <w:rPr>
          <w:rFonts w:ascii="Arial" w:hAnsi="Arial" w:cs="Arial"/>
          <w:b/>
          <w:bCs/>
          <w:spacing w:val="1"/>
          <w:sz w:val="16"/>
          <w:szCs w:val="16"/>
        </w:rPr>
        <w:t xml:space="preserve"> </w:t>
      </w:r>
      <w:r>
        <w:rPr>
          <w:rFonts w:ascii="Arial" w:hAnsi="Arial" w:cs="Arial"/>
          <w:b/>
          <w:bCs/>
          <w:sz w:val="16"/>
          <w:szCs w:val="16"/>
        </w:rPr>
        <w:t>6868</w:t>
      </w:r>
    </w:p>
    <w:p w14:paraId="73890655" w14:textId="77777777" w:rsidR="00282F27" w:rsidRDefault="00282F27">
      <w:pPr>
        <w:pStyle w:val="BodyText"/>
        <w:tabs>
          <w:tab w:val="left" w:pos="2894"/>
        </w:tabs>
        <w:kinsoku w:val="0"/>
        <w:overflowPunct w:val="0"/>
        <w:spacing w:line="183" w:lineRule="exact"/>
        <w:ind w:right="360"/>
        <w:jc w:val="center"/>
        <w:rPr>
          <w:rFonts w:ascii="Arial" w:hAnsi="Arial" w:cs="Arial"/>
          <w:b/>
          <w:bCs/>
          <w:sz w:val="16"/>
          <w:szCs w:val="16"/>
        </w:rPr>
      </w:pPr>
      <w:r>
        <w:rPr>
          <w:rFonts w:ascii="Arial" w:hAnsi="Arial" w:cs="Arial"/>
          <w:b/>
          <w:bCs/>
          <w:sz w:val="16"/>
          <w:szCs w:val="16"/>
        </w:rPr>
        <w:t>Email:</w:t>
      </w:r>
      <w:r>
        <w:rPr>
          <w:rFonts w:ascii="Arial" w:hAnsi="Arial" w:cs="Arial"/>
          <w:b/>
          <w:bCs/>
          <w:spacing w:val="-3"/>
          <w:sz w:val="16"/>
          <w:szCs w:val="16"/>
        </w:rPr>
        <w:t xml:space="preserve"> </w:t>
      </w:r>
      <w:hyperlink r:id="rId11" w:history="1">
        <w:r>
          <w:rPr>
            <w:rFonts w:ascii="Arial" w:hAnsi="Arial" w:cs="Arial"/>
            <w:b/>
            <w:bCs/>
            <w:sz w:val="16"/>
            <w:szCs w:val="16"/>
          </w:rPr>
          <w:t>enquiries@hcourt.gov.au</w:t>
        </w:r>
      </w:hyperlink>
      <w:r>
        <w:rPr>
          <w:rFonts w:ascii="Arial" w:hAnsi="Arial" w:cs="Arial"/>
          <w:b/>
          <w:bCs/>
          <w:sz w:val="16"/>
          <w:szCs w:val="16"/>
        </w:rPr>
        <w:tab/>
        <w:t xml:space="preserve">Website: </w:t>
      </w:r>
      <w:hyperlink r:id="rId12" w:history="1">
        <w:r>
          <w:rPr>
            <w:rFonts w:ascii="Arial" w:hAnsi="Arial" w:cs="Arial"/>
            <w:b/>
            <w:bCs/>
            <w:sz w:val="16"/>
            <w:szCs w:val="16"/>
          </w:rPr>
          <w:t>www.hcourt.gov.au</w:t>
        </w:r>
      </w:hyperlink>
    </w:p>
    <w:p w14:paraId="6AC4ED67" w14:textId="77777777" w:rsidR="00A579BF" w:rsidRDefault="00A579BF">
      <w:pPr>
        <w:pStyle w:val="BodyText"/>
        <w:tabs>
          <w:tab w:val="left" w:pos="2894"/>
        </w:tabs>
        <w:kinsoku w:val="0"/>
        <w:overflowPunct w:val="0"/>
        <w:spacing w:line="183" w:lineRule="exact"/>
        <w:ind w:right="360"/>
        <w:jc w:val="center"/>
        <w:rPr>
          <w:rFonts w:ascii="Arial" w:hAnsi="Arial" w:cs="Arial"/>
          <w:b/>
          <w:bCs/>
          <w:sz w:val="16"/>
          <w:szCs w:val="16"/>
        </w:rPr>
      </w:pPr>
    </w:p>
    <w:sectPr w:rsidR="00A579BF" w:rsidSect="009245F5">
      <w:type w:val="continuous"/>
      <w:pgSz w:w="11910" w:h="16850"/>
      <w:pgMar w:top="1040" w:right="840" w:bottom="0" w:left="1200" w:header="720" w:footer="720" w:gutter="0"/>
      <w:cols w:space="720" w:equalWidth="0">
        <w:col w:w="9870"/>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CE4B2" w14:textId="77777777" w:rsidR="00660DFF" w:rsidRDefault="00660DFF" w:rsidP="009245F5">
      <w:r>
        <w:separator/>
      </w:r>
    </w:p>
  </w:endnote>
  <w:endnote w:type="continuationSeparator" w:id="0">
    <w:p w14:paraId="67CB52C9" w14:textId="77777777" w:rsidR="00660DFF" w:rsidRDefault="00660DFF" w:rsidP="0092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E46F4" w14:textId="77777777" w:rsidR="00660DFF" w:rsidRDefault="00660DFF" w:rsidP="009245F5">
      <w:r>
        <w:separator/>
      </w:r>
    </w:p>
  </w:footnote>
  <w:footnote w:type="continuationSeparator" w:id="0">
    <w:p w14:paraId="61809416" w14:textId="77777777" w:rsidR="00660DFF" w:rsidRDefault="00660DFF" w:rsidP="00924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BC41D" w14:textId="77777777" w:rsidR="009245F5" w:rsidRDefault="009245F5" w:rsidP="009245F5">
    <w:pPr>
      <w:pStyle w:val="Header"/>
      <w:jc w:val="right"/>
    </w:pPr>
    <w:r>
      <w:t>Gageler J v1</w:t>
    </w:r>
  </w:p>
  <w:p w14:paraId="439F712A" w14:textId="77777777" w:rsidR="009245F5" w:rsidRDefault="009245F5" w:rsidP="009245F5">
    <w:pPr>
      <w:pStyle w:val="Header"/>
      <w:jc w:val="right"/>
    </w:pPr>
    <w:r>
      <w:t>23/06/2020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258AC" w14:textId="3E5806C8" w:rsidR="004403FA" w:rsidRDefault="004403FA" w:rsidP="004403F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63" w:hanging="361"/>
      </w:pPr>
      <w:rPr>
        <w:rFonts w:ascii="Symbol" w:hAnsi="Symbol"/>
        <w:b w:val="0"/>
        <w:w w:val="100"/>
        <w:sz w:val="22"/>
      </w:rPr>
    </w:lvl>
    <w:lvl w:ilvl="1">
      <w:numFmt w:val="bullet"/>
      <w:lvlText w:val="•"/>
      <w:lvlJc w:val="left"/>
      <w:pPr>
        <w:ind w:left="1400" w:hanging="361"/>
      </w:pPr>
    </w:lvl>
    <w:lvl w:ilvl="2">
      <w:numFmt w:val="bullet"/>
      <w:lvlText w:val="•"/>
      <w:lvlJc w:val="left"/>
      <w:pPr>
        <w:ind w:left="2341" w:hanging="361"/>
      </w:pPr>
    </w:lvl>
    <w:lvl w:ilvl="3">
      <w:numFmt w:val="bullet"/>
      <w:lvlText w:val="•"/>
      <w:lvlJc w:val="left"/>
      <w:pPr>
        <w:ind w:left="3281" w:hanging="361"/>
      </w:pPr>
    </w:lvl>
    <w:lvl w:ilvl="4">
      <w:numFmt w:val="bullet"/>
      <w:lvlText w:val="•"/>
      <w:lvlJc w:val="left"/>
      <w:pPr>
        <w:ind w:left="4222" w:hanging="361"/>
      </w:pPr>
    </w:lvl>
    <w:lvl w:ilvl="5">
      <w:numFmt w:val="bullet"/>
      <w:lvlText w:val="•"/>
      <w:lvlJc w:val="left"/>
      <w:pPr>
        <w:ind w:left="5163" w:hanging="361"/>
      </w:pPr>
    </w:lvl>
    <w:lvl w:ilvl="6">
      <w:numFmt w:val="bullet"/>
      <w:lvlText w:val="•"/>
      <w:lvlJc w:val="left"/>
      <w:pPr>
        <w:ind w:left="6103" w:hanging="361"/>
      </w:pPr>
    </w:lvl>
    <w:lvl w:ilvl="7">
      <w:numFmt w:val="bullet"/>
      <w:lvlText w:val="•"/>
      <w:lvlJc w:val="left"/>
      <w:pPr>
        <w:ind w:left="7044" w:hanging="361"/>
      </w:pPr>
    </w:lvl>
    <w:lvl w:ilvl="8">
      <w:numFmt w:val="bullet"/>
      <w:lvlText w:val="•"/>
      <w:lvlJc w:val="left"/>
      <w:pPr>
        <w:ind w:left="7985" w:hanging="36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55B"/>
    <w:rsid w:val="000026DC"/>
    <w:rsid w:val="00010FB9"/>
    <w:rsid w:val="00015C0A"/>
    <w:rsid w:val="0003128A"/>
    <w:rsid w:val="00032679"/>
    <w:rsid w:val="000503A0"/>
    <w:rsid w:val="00074DA3"/>
    <w:rsid w:val="0009562E"/>
    <w:rsid w:val="000B3A85"/>
    <w:rsid w:val="000C0F68"/>
    <w:rsid w:val="000C5B57"/>
    <w:rsid w:val="000D204C"/>
    <w:rsid w:val="000E2C7A"/>
    <w:rsid w:val="000E5210"/>
    <w:rsid w:val="00141EA1"/>
    <w:rsid w:val="001441FD"/>
    <w:rsid w:val="001603F0"/>
    <w:rsid w:val="00162048"/>
    <w:rsid w:val="0017371A"/>
    <w:rsid w:val="001A25AF"/>
    <w:rsid w:val="001C3051"/>
    <w:rsid w:val="001C3CFB"/>
    <w:rsid w:val="001F1856"/>
    <w:rsid w:val="00225BE7"/>
    <w:rsid w:val="002279E3"/>
    <w:rsid w:val="002413A6"/>
    <w:rsid w:val="002422B9"/>
    <w:rsid w:val="00267417"/>
    <w:rsid w:val="0027594D"/>
    <w:rsid w:val="00282F27"/>
    <w:rsid w:val="0029005F"/>
    <w:rsid w:val="00291AF1"/>
    <w:rsid w:val="002A0A64"/>
    <w:rsid w:val="002B2584"/>
    <w:rsid w:val="002C0DCC"/>
    <w:rsid w:val="002C2EFB"/>
    <w:rsid w:val="002D32FA"/>
    <w:rsid w:val="002F0FB8"/>
    <w:rsid w:val="0031003A"/>
    <w:rsid w:val="003164E5"/>
    <w:rsid w:val="00332A09"/>
    <w:rsid w:val="00344D92"/>
    <w:rsid w:val="003476D1"/>
    <w:rsid w:val="00354C40"/>
    <w:rsid w:val="0035686E"/>
    <w:rsid w:val="00366594"/>
    <w:rsid w:val="003A71B6"/>
    <w:rsid w:val="003B5EAE"/>
    <w:rsid w:val="003D30B5"/>
    <w:rsid w:val="003D4745"/>
    <w:rsid w:val="003D5404"/>
    <w:rsid w:val="003E5FD6"/>
    <w:rsid w:val="003F59D6"/>
    <w:rsid w:val="00402AE2"/>
    <w:rsid w:val="0041255B"/>
    <w:rsid w:val="004368D1"/>
    <w:rsid w:val="004403FA"/>
    <w:rsid w:val="0047585E"/>
    <w:rsid w:val="00495ACC"/>
    <w:rsid w:val="004C65EF"/>
    <w:rsid w:val="004E561C"/>
    <w:rsid w:val="0050088B"/>
    <w:rsid w:val="0051613B"/>
    <w:rsid w:val="00517664"/>
    <w:rsid w:val="00522FBE"/>
    <w:rsid w:val="00530B02"/>
    <w:rsid w:val="005326DF"/>
    <w:rsid w:val="0054454B"/>
    <w:rsid w:val="00551C87"/>
    <w:rsid w:val="00554C16"/>
    <w:rsid w:val="00561859"/>
    <w:rsid w:val="00570882"/>
    <w:rsid w:val="005969AD"/>
    <w:rsid w:val="0062571B"/>
    <w:rsid w:val="006303C6"/>
    <w:rsid w:val="00636600"/>
    <w:rsid w:val="00646F91"/>
    <w:rsid w:val="00653987"/>
    <w:rsid w:val="00655769"/>
    <w:rsid w:val="00660DFF"/>
    <w:rsid w:val="006753F7"/>
    <w:rsid w:val="00682422"/>
    <w:rsid w:val="006A2377"/>
    <w:rsid w:val="006B05C3"/>
    <w:rsid w:val="006F4D32"/>
    <w:rsid w:val="00716CA6"/>
    <w:rsid w:val="0072604B"/>
    <w:rsid w:val="00726349"/>
    <w:rsid w:val="00731BA2"/>
    <w:rsid w:val="00735298"/>
    <w:rsid w:val="00751232"/>
    <w:rsid w:val="00774D32"/>
    <w:rsid w:val="007802C4"/>
    <w:rsid w:val="007810E3"/>
    <w:rsid w:val="007846AF"/>
    <w:rsid w:val="007A6728"/>
    <w:rsid w:val="007B6C56"/>
    <w:rsid w:val="007C6352"/>
    <w:rsid w:val="007D08AE"/>
    <w:rsid w:val="007D6BAA"/>
    <w:rsid w:val="007D7FD9"/>
    <w:rsid w:val="008073EA"/>
    <w:rsid w:val="00865827"/>
    <w:rsid w:val="00880AAA"/>
    <w:rsid w:val="008952FF"/>
    <w:rsid w:val="008A2047"/>
    <w:rsid w:val="008B3792"/>
    <w:rsid w:val="008C54C2"/>
    <w:rsid w:val="009245F5"/>
    <w:rsid w:val="00924CBD"/>
    <w:rsid w:val="009341D3"/>
    <w:rsid w:val="009465EF"/>
    <w:rsid w:val="00953540"/>
    <w:rsid w:val="00954FFB"/>
    <w:rsid w:val="00961942"/>
    <w:rsid w:val="00990935"/>
    <w:rsid w:val="00992F1E"/>
    <w:rsid w:val="009D0449"/>
    <w:rsid w:val="009D64D4"/>
    <w:rsid w:val="00A1080B"/>
    <w:rsid w:val="00A2206B"/>
    <w:rsid w:val="00A254E7"/>
    <w:rsid w:val="00A25B60"/>
    <w:rsid w:val="00A452E3"/>
    <w:rsid w:val="00A55AB5"/>
    <w:rsid w:val="00A579BF"/>
    <w:rsid w:val="00A67E4D"/>
    <w:rsid w:val="00A706C1"/>
    <w:rsid w:val="00A77A8C"/>
    <w:rsid w:val="00A87239"/>
    <w:rsid w:val="00AA3126"/>
    <w:rsid w:val="00AA5D4C"/>
    <w:rsid w:val="00AB7F4E"/>
    <w:rsid w:val="00AC328D"/>
    <w:rsid w:val="00AC7F2E"/>
    <w:rsid w:val="00AF13AA"/>
    <w:rsid w:val="00B038B1"/>
    <w:rsid w:val="00B05904"/>
    <w:rsid w:val="00B11547"/>
    <w:rsid w:val="00B45F00"/>
    <w:rsid w:val="00B70955"/>
    <w:rsid w:val="00B77EFC"/>
    <w:rsid w:val="00B802B1"/>
    <w:rsid w:val="00B86616"/>
    <w:rsid w:val="00B968E6"/>
    <w:rsid w:val="00BE1153"/>
    <w:rsid w:val="00BE15C0"/>
    <w:rsid w:val="00C055C9"/>
    <w:rsid w:val="00C11E96"/>
    <w:rsid w:val="00C64E86"/>
    <w:rsid w:val="00C654A8"/>
    <w:rsid w:val="00C86AE4"/>
    <w:rsid w:val="00C93D24"/>
    <w:rsid w:val="00C97D99"/>
    <w:rsid w:val="00CB63DA"/>
    <w:rsid w:val="00CB794C"/>
    <w:rsid w:val="00CE682D"/>
    <w:rsid w:val="00CE7C92"/>
    <w:rsid w:val="00CF52B5"/>
    <w:rsid w:val="00D1114B"/>
    <w:rsid w:val="00D31D08"/>
    <w:rsid w:val="00D34CF6"/>
    <w:rsid w:val="00D53D69"/>
    <w:rsid w:val="00D56600"/>
    <w:rsid w:val="00D81E41"/>
    <w:rsid w:val="00DD0327"/>
    <w:rsid w:val="00DE4C34"/>
    <w:rsid w:val="00E0219A"/>
    <w:rsid w:val="00E256D3"/>
    <w:rsid w:val="00E30E06"/>
    <w:rsid w:val="00E36582"/>
    <w:rsid w:val="00E41BFE"/>
    <w:rsid w:val="00E50049"/>
    <w:rsid w:val="00E57B28"/>
    <w:rsid w:val="00E67712"/>
    <w:rsid w:val="00E67E4B"/>
    <w:rsid w:val="00EB1AA6"/>
    <w:rsid w:val="00EE02C7"/>
    <w:rsid w:val="00F3661B"/>
    <w:rsid w:val="00F405E2"/>
    <w:rsid w:val="00F46112"/>
    <w:rsid w:val="00F61A86"/>
    <w:rsid w:val="00FA0256"/>
    <w:rsid w:val="00FC371F"/>
    <w:rsid w:val="00FD2E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B2E21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link w:val="BodyText"/>
    <w:uiPriority w:val="99"/>
    <w:semiHidden/>
    <w:locked/>
    <w:rPr>
      <w:rFonts w:ascii="Times New Roman" w:hAnsi="Times New Roman" w:cs="Times New Roman"/>
    </w:rPr>
  </w:style>
  <w:style w:type="paragraph" w:styleId="ListParagraph">
    <w:name w:val="List Paragraph"/>
    <w:basedOn w:val="Normal"/>
    <w:uiPriority w:val="1"/>
    <w:qFormat/>
    <w:pPr>
      <w:spacing w:before="121"/>
      <w:ind w:left="463" w:right="462" w:hanging="360"/>
    </w:pPr>
    <w:rPr>
      <w:sz w:val="24"/>
      <w:szCs w:val="24"/>
    </w:rPr>
  </w:style>
  <w:style w:type="paragraph" w:customStyle="1" w:styleId="TableParagraph">
    <w:name w:val="Table Paragraph"/>
    <w:basedOn w:val="Normal"/>
    <w:uiPriority w:val="1"/>
    <w:qFormat/>
    <w:rPr>
      <w:sz w:val="24"/>
      <w:szCs w:val="24"/>
    </w:rPr>
  </w:style>
  <w:style w:type="character" w:styleId="CommentReference">
    <w:name w:val="annotation reference"/>
    <w:uiPriority w:val="99"/>
    <w:semiHidden/>
    <w:unhideWhenUsed/>
    <w:rsid w:val="009D0449"/>
    <w:rPr>
      <w:rFonts w:cs="Times New Roman"/>
      <w:sz w:val="16"/>
      <w:szCs w:val="16"/>
    </w:rPr>
  </w:style>
  <w:style w:type="paragraph" w:styleId="CommentText">
    <w:name w:val="annotation text"/>
    <w:basedOn w:val="Normal"/>
    <w:link w:val="CommentTextChar"/>
    <w:uiPriority w:val="99"/>
    <w:semiHidden/>
    <w:unhideWhenUsed/>
    <w:rsid w:val="009D0449"/>
    <w:rPr>
      <w:sz w:val="20"/>
      <w:szCs w:val="20"/>
    </w:rPr>
  </w:style>
  <w:style w:type="character" w:customStyle="1" w:styleId="CommentTextChar">
    <w:name w:val="Comment Text Char"/>
    <w:link w:val="CommentText"/>
    <w:uiPriority w:val="99"/>
    <w:semiHidden/>
    <w:locked/>
    <w:rsid w:val="009D044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0449"/>
    <w:rPr>
      <w:b/>
      <w:bCs/>
    </w:rPr>
  </w:style>
  <w:style w:type="character" w:customStyle="1" w:styleId="CommentSubjectChar">
    <w:name w:val="Comment Subject Char"/>
    <w:link w:val="CommentSubject"/>
    <w:uiPriority w:val="99"/>
    <w:semiHidden/>
    <w:locked/>
    <w:rsid w:val="009D044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D0449"/>
    <w:rPr>
      <w:rFonts w:ascii="Segoe UI" w:hAnsi="Segoe UI" w:cs="Segoe UI"/>
      <w:sz w:val="18"/>
      <w:szCs w:val="18"/>
    </w:rPr>
  </w:style>
  <w:style w:type="character" w:customStyle="1" w:styleId="BalloonTextChar">
    <w:name w:val="Balloon Text Char"/>
    <w:link w:val="BalloonText"/>
    <w:uiPriority w:val="99"/>
    <w:semiHidden/>
    <w:locked/>
    <w:rsid w:val="009D0449"/>
    <w:rPr>
      <w:rFonts w:ascii="Segoe UI" w:hAnsi="Segoe UI" w:cs="Segoe UI"/>
      <w:sz w:val="18"/>
      <w:szCs w:val="18"/>
    </w:rPr>
  </w:style>
  <w:style w:type="paragraph" w:styleId="Header">
    <w:name w:val="header"/>
    <w:basedOn w:val="Normal"/>
    <w:link w:val="HeaderChar"/>
    <w:uiPriority w:val="99"/>
    <w:unhideWhenUsed/>
    <w:rsid w:val="009245F5"/>
    <w:pPr>
      <w:tabs>
        <w:tab w:val="center" w:pos="4513"/>
        <w:tab w:val="right" w:pos="9026"/>
      </w:tabs>
    </w:pPr>
  </w:style>
  <w:style w:type="character" w:customStyle="1" w:styleId="HeaderChar">
    <w:name w:val="Header Char"/>
    <w:link w:val="Header"/>
    <w:uiPriority w:val="99"/>
    <w:locked/>
    <w:rsid w:val="009245F5"/>
    <w:rPr>
      <w:rFonts w:ascii="Times New Roman" w:hAnsi="Times New Roman" w:cs="Times New Roman"/>
    </w:rPr>
  </w:style>
  <w:style w:type="paragraph" w:styleId="Footer">
    <w:name w:val="footer"/>
    <w:basedOn w:val="Normal"/>
    <w:link w:val="FooterChar"/>
    <w:uiPriority w:val="99"/>
    <w:unhideWhenUsed/>
    <w:rsid w:val="009245F5"/>
    <w:pPr>
      <w:tabs>
        <w:tab w:val="center" w:pos="4513"/>
        <w:tab w:val="right" w:pos="9026"/>
      </w:tabs>
    </w:pPr>
  </w:style>
  <w:style w:type="character" w:customStyle="1" w:styleId="FooterChar">
    <w:name w:val="Footer Char"/>
    <w:link w:val="Footer"/>
    <w:uiPriority w:val="99"/>
    <w:locked/>
    <w:rsid w:val="009245F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court.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hcourt.gov.a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75456-100B-40BA-9797-C6AB63F31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2021-02-02T23:09:00Z</dcterms:created>
  <dcterms:modified xsi:type="dcterms:W3CDTF">2021-02-02T23:10:00Z</dcterms:modified>
</cp:coreProperties>
</file>