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2BDE" w14:textId="77777777" w:rsidR="00310A6C" w:rsidRDefault="00310A6C">
      <w:pPr>
        <w:ind w:right="-285"/>
      </w:pPr>
    </w:p>
    <w:p w14:paraId="389AAAAE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2092B68C" w14:textId="7836687E" w:rsidR="00443C39" w:rsidRDefault="0079234D" w:rsidP="00443C39">
      <w:pPr>
        <w:framePr w:w="2019" w:h="430" w:hSpace="181" w:wrap="notBeside" w:vAnchor="text" w:hAnchor="page" w:x="9081" w:y="-550"/>
        <w:shd w:val="solid" w:color="FFFFFF" w:fill="FFFFFF"/>
      </w:pPr>
      <w:r>
        <w:t>7</w:t>
      </w:r>
      <w:r w:rsidR="003D776B">
        <w:t xml:space="preserve"> April 2021</w:t>
      </w:r>
    </w:p>
    <w:p w14:paraId="2370F426" w14:textId="5EEA3752" w:rsidR="005F16F6" w:rsidRDefault="003F0C4C" w:rsidP="00E95A71">
      <w:pPr>
        <w:ind w:right="-285"/>
        <w:jc w:val="center"/>
        <w:rPr>
          <w:u w:val="single"/>
        </w:rPr>
      </w:pPr>
      <w:r>
        <w:rPr>
          <w:u w:val="single"/>
        </w:rPr>
        <w:t>VICTORIA INTERNATIONAL CONTAINER TERMINAL LIMITED v LUNT &amp; ORS</w:t>
      </w:r>
    </w:p>
    <w:p w14:paraId="3F532322" w14:textId="3AF0B621" w:rsidR="00310A6C" w:rsidRPr="005F16F6" w:rsidRDefault="00E95A71" w:rsidP="00E95A71">
      <w:pPr>
        <w:ind w:right="-285"/>
        <w:jc w:val="center"/>
      </w:pPr>
      <w:r w:rsidRPr="005F16F6">
        <w:t>[20</w:t>
      </w:r>
      <w:r w:rsidR="006F703C">
        <w:t>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B3247E">
        <w:t>11</w:t>
      </w:r>
    </w:p>
    <w:bookmarkEnd w:id="0"/>
    <w:p w14:paraId="6A3CC01C" w14:textId="77777777" w:rsidR="000474B9" w:rsidRPr="00873C60" w:rsidRDefault="000474B9" w:rsidP="00873C60">
      <w:pPr>
        <w:ind w:right="-285"/>
        <w:jc w:val="center"/>
      </w:pPr>
    </w:p>
    <w:p w14:paraId="37A2D886" w14:textId="3A96EE7C" w:rsidR="000F0F48" w:rsidRDefault="00C51B8D" w:rsidP="00176DC4">
      <w:pPr>
        <w:ind w:right="-285"/>
      </w:pPr>
      <w:r>
        <w:t>Today</w:t>
      </w:r>
      <w:r w:rsidR="00767C34">
        <w:t>,</w:t>
      </w:r>
      <w:r>
        <w:t xml:space="preserve"> the High Court </w:t>
      </w:r>
      <w:r w:rsidR="006750A0">
        <w:t xml:space="preserve">unanimously </w:t>
      </w:r>
      <w:r w:rsidR="006F109B">
        <w:t xml:space="preserve">dismissed an appeal from a judgment of </w:t>
      </w:r>
      <w:r w:rsidR="00BF5FC0">
        <w:t>the Full Court of the Federal Court of Australia</w:t>
      </w:r>
      <w:r w:rsidR="009D393C">
        <w:t>. The appeal concerned</w:t>
      </w:r>
      <w:r w:rsidR="00B95436">
        <w:t xml:space="preserve"> whether </w:t>
      </w:r>
      <w:r w:rsidR="003B4AEC">
        <w:t xml:space="preserve">proceedings brought by </w:t>
      </w:r>
      <w:r w:rsidR="00044661">
        <w:t xml:space="preserve">a plaintiff </w:t>
      </w:r>
      <w:r w:rsidR="00241BCF">
        <w:t>on behalf of a trade union</w:t>
      </w:r>
      <w:r w:rsidR="00462272">
        <w:t xml:space="preserve"> to quash </w:t>
      </w:r>
      <w:r w:rsidR="00FA222C">
        <w:t xml:space="preserve">the approval of </w:t>
      </w:r>
      <w:r w:rsidR="00462272">
        <w:t>an enterprise agreement</w:t>
      </w:r>
      <w:r w:rsidR="005E1829">
        <w:t xml:space="preserve">, in circumstances where the predecessor trade union had originally supported the </w:t>
      </w:r>
      <w:r w:rsidR="00462272">
        <w:t>approval</w:t>
      </w:r>
      <w:r w:rsidR="005E1829">
        <w:t xml:space="preserve">, </w:t>
      </w:r>
      <w:r w:rsidR="00462272">
        <w:t xml:space="preserve">should be summarily dismissed on the basis that </w:t>
      </w:r>
      <w:r w:rsidR="00FA222C">
        <w:t>the proceedings</w:t>
      </w:r>
      <w:r w:rsidR="00462272">
        <w:t xml:space="preserve"> were an abuse of process</w:t>
      </w:r>
      <w:r w:rsidR="00D61254">
        <w:t xml:space="preserve">. </w:t>
      </w:r>
    </w:p>
    <w:p w14:paraId="5E510B2D" w14:textId="66269F21" w:rsidR="002E6C33" w:rsidRDefault="002E6C33" w:rsidP="00176DC4">
      <w:pPr>
        <w:ind w:right="-285"/>
      </w:pPr>
    </w:p>
    <w:p w14:paraId="72B39066" w14:textId="0F7423A0" w:rsidR="002E6C33" w:rsidRPr="00F37B55" w:rsidRDefault="00B67F84" w:rsidP="00176DC4">
      <w:pPr>
        <w:ind w:right="-285"/>
      </w:pPr>
      <w:r>
        <w:t xml:space="preserve">The appellant, Victoria International Container Terminal </w:t>
      </w:r>
      <w:r w:rsidR="00FA222C">
        <w:t xml:space="preserve">Limited </w:t>
      </w:r>
      <w:r>
        <w:t xml:space="preserve">("VICT"), applied to the Fair Work Commission ("the Commission") </w:t>
      </w:r>
      <w:r w:rsidR="00F37B55">
        <w:t xml:space="preserve">for approval of the </w:t>
      </w:r>
      <w:r w:rsidR="00F37B55">
        <w:rPr>
          <w:i/>
        </w:rPr>
        <w:t xml:space="preserve">Victoria International Container Operations Agreement 2016 </w:t>
      </w:r>
      <w:r w:rsidR="00F37B55">
        <w:t xml:space="preserve">("the Enterprise Agreement"). The </w:t>
      </w:r>
      <w:r w:rsidR="004B61EA">
        <w:t xml:space="preserve">application was made with the support of the </w:t>
      </w:r>
      <w:r w:rsidR="00F37B55">
        <w:t xml:space="preserve">Maritime Union of Australia ("the MUA"), which </w:t>
      </w:r>
      <w:r w:rsidR="00533D4D">
        <w:t xml:space="preserve">later </w:t>
      </w:r>
      <w:r w:rsidR="00A05BF2">
        <w:t>merged</w:t>
      </w:r>
      <w:r w:rsidR="00533D4D">
        <w:t xml:space="preserve"> </w:t>
      </w:r>
      <w:r w:rsidR="00883DE9">
        <w:t xml:space="preserve">to form </w:t>
      </w:r>
      <w:r w:rsidR="00533D4D">
        <w:t xml:space="preserve">the fourth respondent, the Construction, Forestry, </w:t>
      </w:r>
      <w:r w:rsidR="00883DE9">
        <w:t>Maritime, Mining and Energy Union ("the CFMMEU")</w:t>
      </w:r>
      <w:r w:rsidR="00FB4588">
        <w:t xml:space="preserve">. The Commission approved the Enterprise Agreement. </w:t>
      </w:r>
      <w:r w:rsidR="00270F9C">
        <w:t>Following th</w:t>
      </w:r>
      <w:r w:rsidR="005F40F2">
        <w:t>at</w:t>
      </w:r>
      <w:r w:rsidR="00270F9C">
        <w:t xml:space="preserve"> approval, </w:t>
      </w:r>
      <w:r w:rsidR="00FB4588">
        <w:t xml:space="preserve">the MUA </w:t>
      </w:r>
      <w:r w:rsidR="00270F9C">
        <w:t xml:space="preserve">brought several proceedings </w:t>
      </w:r>
      <w:r w:rsidR="00002CCE">
        <w:t>against VICT in reliance on the Enterprise Agreement</w:t>
      </w:r>
      <w:r w:rsidR="007D7287">
        <w:t>. However, the MUA soon became dissatisfied with the Enterprise Agreement and began publicly to criticise it</w:t>
      </w:r>
      <w:r w:rsidR="00533D4D">
        <w:t>.</w:t>
      </w:r>
    </w:p>
    <w:p w14:paraId="6020AB3A" w14:textId="6055B1B3" w:rsidR="006750A0" w:rsidRDefault="006750A0" w:rsidP="00176DC4">
      <w:pPr>
        <w:ind w:right="-285"/>
      </w:pPr>
    </w:p>
    <w:p w14:paraId="43B7063B" w14:textId="5A5D2BA1" w:rsidR="0073659C" w:rsidRDefault="00A00C4A" w:rsidP="00176DC4">
      <w:pPr>
        <w:ind w:right="-285"/>
      </w:pPr>
      <w:r>
        <w:t xml:space="preserve">The first respondent ("Mr Lunt") </w:t>
      </w:r>
      <w:r w:rsidR="006A0AF4">
        <w:t xml:space="preserve">was a longstanding member of the MUA </w:t>
      </w:r>
      <w:r w:rsidR="00AD7915">
        <w:t>who</w:t>
      </w:r>
      <w:r w:rsidR="006A0AF4">
        <w:t xml:space="preserve"> </w:t>
      </w:r>
      <w:r w:rsidR="00880AE5">
        <w:t>had been</w:t>
      </w:r>
      <w:r w:rsidR="006A0AF4">
        <w:t xml:space="preserve"> employed by VICT. </w:t>
      </w:r>
      <w:r w:rsidR="00BA1B00">
        <w:t xml:space="preserve">Mr Lunt commenced proceedings </w:t>
      </w:r>
      <w:r w:rsidR="00484859">
        <w:t>seeking to quash</w:t>
      </w:r>
      <w:r w:rsidR="003F261D">
        <w:t xml:space="preserve"> the Commission's approval of the Enterprise Agreement</w:t>
      </w:r>
      <w:r w:rsidR="00DD3312">
        <w:t xml:space="preserve">. VICT </w:t>
      </w:r>
      <w:r w:rsidR="00807838">
        <w:t xml:space="preserve">sought summary dismissal of the proceedings, arguing that </w:t>
      </w:r>
      <w:r w:rsidR="00DB7641">
        <w:t xml:space="preserve">they were an abuse of process because </w:t>
      </w:r>
      <w:r w:rsidR="00807838">
        <w:t xml:space="preserve">the CFMMEU </w:t>
      </w:r>
      <w:r w:rsidR="00F269CF">
        <w:t xml:space="preserve">(as it </w:t>
      </w:r>
      <w:r w:rsidR="00AD28B3">
        <w:t>now was</w:t>
      </w:r>
      <w:r w:rsidR="00F269CF">
        <w:t xml:space="preserve">) </w:t>
      </w:r>
      <w:r w:rsidR="00E57850">
        <w:t>was the true moving party</w:t>
      </w:r>
      <w:r w:rsidR="008E71A0">
        <w:t xml:space="preserve"> behind the proceedings</w:t>
      </w:r>
      <w:r w:rsidR="00DD33D2">
        <w:t xml:space="preserve">, with Mr Lunt being deployed </w:t>
      </w:r>
      <w:r w:rsidR="009D7E6D">
        <w:t xml:space="preserve">as a "front man" </w:t>
      </w:r>
      <w:r w:rsidR="00DD33D2">
        <w:t>to conceal the CFMMEU's role</w:t>
      </w:r>
      <w:r w:rsidR="003D526E">
        <w:t xml:space="preserve">. </w:t>
      </w:r>
      <w:r w:rsidR="00E3374C">
        <w:t xml:space="preserve">The MUA and CFMMEU had funded the proceedings and were </w:t>
      </w:r>
      <w:r w:rsidR="007E1BF2">
        <w:t xml:space="preserve">found to have been </w:t>
      </w:r>
      <w:r w:rsidR="00E3374C">
        <w:t xml:space="preserve">unwilling to bring proceedings in their own names because of the </w:t>
      </w:r>
      <w:r w:rsidR="00AD7915">
        <w:t xml:space="preserve">perceived </w:t>
      </w:r>
      <w:r w:rsidR="00E3374C">
        <w:t xml:space="preserve">risk that they would be refused relief on discretionary grounds, including </w:t>
      </w:r>
      <w:r w:rsidR="00B950E8">
        <w:t>because</w:t>
      </w:r>
      <w:r w:rsidR="00E3374C">
        <w:t xml:space="preserve"> </w:t>
      </w:r>
      <w:r w:rsidR="005A55B0">
        <w:t>the MUA</w:t>
      </w:r>
      <w:r w:rsidR="00E3374C">
        <w:t xml:space="preserve"> had acquiesced in the approval of the Enterprise Agreement. </w:t>
      </w:r>
      <w:r w:rsidR="003D526E">
        <w:t>Mr Lunt</w:t>
      </w:r>
      <w:r w:rsidR="00D06098">
        <w:t>, however,</w:t>
      </w:r>
      <w:r w:rsidR="003D526E">
        <w:t xml:space="preserve"> maintained that he sought the quashing of the approval of the Enterprise Agreement by reason of his concerns about its conditions and the manner in which it was made</w:t>
      </w:r>
      <w:r w:rsidR="008E71A0">
        <w:t xml:space="preserve">. </w:t>
      </w:r>
    </w:p>
    <w:p w14:paraId="741F662D" w14:textId="739FC162" w:rsidR="009E4FD0" w:rsidRDefault="009E4FD0" w:rsidP="00176DC4">
      <w:pPr>
        <w:ind w:right="-285"/>
      </w:pPr>
    </w:p>
    <w:p w14:paraId="5FBA3CD5" w14:textId="794027C1" w:rsidR="000724ED" w:rsidRDefault="009E4FD0" w:rsidP="00176DC4">
      <w:pPr>
        <w:ind w:right="-285"/>
      </w:pPr>
      <w:r>
        <w:t>On appeal to this Court, VICT argued that to permit the pursuit of the proceedings by Mr</w:t>
      </w:r>
      <w:r w:rsidR="00367B6D">
        <w:t> </w:t>
      </w:r>
      <w:r>
        <w:t>Lunt would bring the administration of justice into disrepute, emphasising the lack of candour involved in Mr</w:t>
      </w:r>
      <w:r w:rsidR="00367B6D">
        <w:t> </w:t>
      </w:r>
      <w:r>
        <w:t xml:space="preserve">Lunt's attempt to conceal the role of the CFMMEU in the proceedings. </w:t>
      </w:r>
      <w:r w:rsidR="003E551B">
        <w:t xml:space="preserve">The High Court </w:t>
      </w:r>
      <w:r w:rsidR="00E71C43">
        <w:t xml:space="preserve">dismissed the appeal, holding </w:t>
      </w:r>
      <w:r w:rsidR="00FD3168">
        <w:t xml:space="preserve">that </w:t>
      </w:r>
      <w:r w:rsidR="00F269CF">
        <w:t xml:space="preserve">the </w:t>
      </w:r>
      <w:r w:rsidR="006804BC">
        <w:t>choice of Mr Lunt as plaintiff</w:t>
      </w:r>
      <w:r w:rsidR="002570BA">
        <w:t xml:space="preserve"> would not have prevented, in any real way, scrutiny </w:t>
      </w:r>
      <w:r w:rsidR="00367B6D">
        <w:t xml:space="preserve">by the court </w:t>
      </w:r>
      <w:r w:rsidR="002570BA">
        <w:t>of the r</w:t>
      </w:r>
      <w:r w:rsidR="005333BF">
        <w:t>o</w:t>
      </w:r>
      <w:r w:rsidR="002570BA">
        <w:t xml:space="preserve">le played by the </w:t>
      </w:r>
      <w:r w:rsidR="00367B6D">
        <w:t>MUA</w:t>
      </w:r>
      <w:r w:rsidR="002570BA">
        <w:t xml:space="preserve"> in the making of the Enterprise Agreement</w:t>
      </w:r>
      <w:r w:rsidR="00DE21A8">
        <w:t>.</w:t>
      </w:r>
      <w:r w:rsidR="00F43116">
        <w:t xml:space="preserve"> </w:t>
      </w:r>
      <w:r w:rsidR="00AD7915">
        <w:t>T</w:t>
      </w:r>
      <w:r w:rsidR="00A649A1">
        <w:t xml:space="preserve">he court's powers in relation to abuse of </w:t>
      </w:r>
      <w:r w:rsidR="00FA75F4">
        <w:t>process</w:t>
      </w:r>
      <w:r w:rsidR="00C27325">
        <w:t xml:space="preserve"> </w:t>
      </w:r>
      <w:r w:rsidR="00AD7915">
        <w:t>were not to be exercised in order</w:t>
      </w:r>
      <w:r w:rsidR="00C27325">
        <w:t xml:space="preserve"> to deter or punish </w:t>
      </w:r>
      <w:r w:rsidR="00B50683">
        <w:t xml:space="preserve">a want of candour on the part of a litigant </w:t>
      </w:r>
      <w:r w:rsidR="005115F1">
        <w:t>of the kind revealed in this case</w:t>
      </w:r>
      <w:r w:rsidR="00367B6D">
        <w:t>; they are exercised in order to protect the integrity of the court's own processes</w:t>
      </w:r>
      <w:r w:rsidR="007D54FE">
        <w:t>.</w:t>
      </w:r>
      <w:r w:rsidR="00833A3A">
        <w:t xml:space="preserve"> </w:t>
      </w:r>
      <w:r w:rsidR="00CE719D">
        <w:t>In any event</w:t>
      </w:r>
      <w:r w:rsidR="00833A3A">
        <w:t>,</w:t>
      </w:r>
      <w:r w:rsidR="007B2049">
        <w:t xml:space="preserve"> </w:t>
      </w:r>
      <w:r w:rsidR="00063708">
        <w:t xml:space="preserve">a stay or summary dismissal of proceedings </w:t>
      </w:r>
      <w:r w:rsidR="007B2049">
        <w:t>should not be ordered where the</w:t>
      </w:r>
      <w:r w:rsidR="00FB22EB">
        <w:t xml:space="preserve">re are less drastic means to </w:t>
      </w:r>
      <w:r w:rsidR="003753AD">
        <w:t>protect the integrity of the court's processes</w:t>
      </w:r>
      <w:r w:rsidR="008476EB">
        <w:t>.</w:t>
      </w:r>
      <w:r w:rsidR="008A2165">
        <w:t xml:space="preserve"> </w:t>
      </w:r>
      <w:r w:rsidR="008476EB">
        <w:t>W</w:t>
      </w:r>
      <w:r w:rsidR="008A2165">
        <w:t xml:space="preserve">ith the arrangements between Mr Lunt and the CFMMEU now being well known, </w:t>
      </w:r>
      <w:r w:rsidR="0061641D">
        <w:t>the administration of justice could not be brought into disrepute by allowing the proceedings to continue t</w:t>
      </w:r>
      <w:r w:rsidR="00922A47">
        <w:t>o</w:t>
      </w:r>
      <w:r w:rsidR="0061641D">
        <w:t xml:space="preserve"> a determination on their merits</w:t>
      </w:r>
      <w:r w:rsidR="00922A47">
        <w:t>.</w:t>
      </w:r>
      <w:r w:rsidR="00CE719D">
        <w:t xml:space="preserve"> </w:t>
      </w:r>
    </w:p>
    <w:p w14:paraId="291E90C5" w14:textId="77777777" w:rsidR="001C1EBD" w:rsidRDefault="001C1EBD" w:rsidP="00176DC4">
      <w:pPr>
        <w:ind w:right="-57"/>
      </w:pPr>
    </w:p>
    <w:p w14:paraId="14A4AD29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5135" w14:textId="77777777" w:rsidR="00754ED3" w:rsidRDefault="00754ED3">
      <w:r>
        <w:separator/>
      </w:r>
    </w:p>
  </w:endnote>
  <w:endnote w:type="continuationSeparator" w:id="0">
    <w:p w14:paraId="24289F1A" w14:textId="77777777" w:rsidR="00754ED3" w:rsidRDefault="0075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DC62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775779C9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71E7FA4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C498" w14:textId="77777777" w:rsidR="00754ED3" w:rsidRDefault="00754ED3">
      <w:r>
        <w:separator/>
      </w:r>
    </w:p>
  </w:footnote>
  <w:footnote w:type="continuationSeparator" w:id="0">
    <w:p w14:paraId="0FFC223C" w14:textId="77777777" w:rsidR="00754ED3" w:rsidRDefault="0075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937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41E04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D601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60DEF2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88C7" w14:textId="28035DF6" w:rsidR="00C83B24" w:rsidRPr="001F4E13" w:rsidRDefault="00D44843" w:rsidP="001F4E13">
    <w:pPr>
      <w:pStyle w:val="Header"/>
      <w:jc w:val="center"/>
    </w:pPr>
    <w:r>
      <w:rPr>
        <w:noProof/>
        <w:lang w:val="en-US" w:eastAsia="zh-TW"/>
      </w:rPr>
      <w:object w:dxaOrig="1440" w:dyaOrig="1440" w14:anchorId="2FA20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7728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679294939" r:id="rId2"/>
      </w:object>
    </w:r>
  </w:p>
  <w:p w14:paraId="39BA1FD2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C6"/>
    <w:rsid w:val="00002CCE"/>
    <w:rsid w:val="000214CD"/>
    <w:rsid w:val="00044661"/>
    <w:rsid w:val="000474B9"/>
    <w:rsid w:val="000541B3"/>
    <w:rsid w:val="00063708"/>
    <w:rsid w:val="000724ED"/>
    <w:rsid w:val="00093397"/>
    <w:rsid w:val="000A2A5B"/>
    <w:rsid w:val="000B4AFC"/>
    <w:rsid w:val="000B5515"/>
    <w:rsid w:val="000E1B58"/>
    <w:rsid w:val="000F0F48"/>
    <w:rsid w:val="000F1746"/>
    <w:rsid w:val="001002E1"/>
    <w:rsid w:val="001026A9"/>
    <w:rsid w:val="0011328C"/>
    <w:rsid w:val="001433C9"/>
    <w:rsid w:val="00176B02"/>
    <w:rsid w:val="00176DC4"/>
    <w:rsid w:val="0018501A"/>
    <w:rsid w:val="001C1EBD"/>
    <w:rsid w:val="001F4E13"/>
    <w:rsid w:val="00235037"/>
    <w:rsid w:val="00241BCF"/>
    <w:rsid w:val="002570BA"/>
    <w:rsid w:val="00270F9C"/>
    <w:rsid w:val="002C1B9F"/>
    <w:rsid w:val="002D2DE8"/>
    <w:rsid w:val="002E6C33"/>
    <w:rsid w:val="00310A6C"/>
    <w:rsid w:val="00360A4A"/>
    <w:rsid w:val="00364AE8"/>
    <w:rsid w:val="00367B6D"/>
    <w:rsid w:val="00371651"/>
    <w:rsid w:val="0037175D"/>
    <w:rsid w:val="003753AD"/>
    <w:rsid w:val="003B4AEC"/>
    <w:rsid w:val="003D526E"/>
    <w:rsid w:val="003D776B"/>
    <w:rsid w:val="003E0FBB"/>
    <w:rsid w:val="003E551B"/>
    <w:rsid w:val="003F0C4C"/>
    <w:rsid w:val="003F261D"/>
    <w:rsid w:val="00427C3A"/>
    <w:rsid w:val="00443509"/>
    <w:rsid w:val="00443C39"/>
    <w:rsid w:val="004508C6"/>
    <w:rsid w:val="00462272"/>
    <w:rsid w:val="004756FE"/>
    <w:rsid w:val="00484859"/>
    <w:rsid w:val="004B266A"/>
    <w:rsid w:val="004B61EA"/>
    <w:rsid w:val="004C0778"/>
    <w:rsid w:val="004C262F"/>
    <w:rsid w:val="005115F1"/>
    <w:rsid w:val="005333BF"/>
    <w:rsid w:val="0053344F"/>
    <w:rsid w:val="00533D4D"/>
    <w:rsid w:val="00534230"/>
    <w:rsid w:val="00536E3B"/>
    <w:rsid w:val="00565A60"/>
    <w:rsid w:val="005665E4"/>
    <w:rsid w:val="005A55B0"/>
    <w:rsid w:val="005E0742"/>
    <w:rsid w:val="005E1829"/>
    <w:rsid w:val="005E7691"/>
    <w:rsid w:val="005F16F6"/>
    <w:rsid w:val="005F40F2"/>
    <w:rsid w:val="00600B69"/>
    <w:rsid w:val="00600C38"/>
    <w:rsid w:val="0061641D"/>
    <w:rsid w:val="00645D5D"/>
    <w:rsid w:val="006750A0"/>
    <w:rsid w:val="006804BC"/>
    <w:rsid w:val="006A0AF4"/>
    <w:rsid w:val="006E214B"/>
    <w:rsid w:val="006F109B"/>
    <w:rsid w:val="006F3C49"/>
    <w:rsid w:val="006F59CA"/>
    <w:rsid w:val="006F703C"/>
    <w:rsid w:val="007044E7"/>
    <w:rsid w:val="00727404"/>
    <w:rsid w:val="007348E1"/>
    <w:rsid w:val="0073659C"/>
    <w:rsid w:val="007432AA"/>
    <w:rsid w:val="00754ED3"/>
    <w:rsid w:val="00767C34"/>
    <w:rsid w:val="00776FEE"/>
    <w:rsid w:val="00777688"/>
    <w:rsid w:val="0079234D"/>
    <w:rsid w:val="007A52EF"/>
    <w:rsid w:val="007B2049"/>
    <w:rsid w:val="007D1B5D"/>
    <w:rsid w:val="007D54FE"/>
    <w:rsid w:val="007D7287"/>
    <w:rsid w:val="007E1387"/>
    <w:rsid w:val="007E1BF2"/>
    <w:rsid w:val="007F383E"/>
    <w:rsid w:val="00807838"/>
    <w:rsid w:val="0082612B"/>
    <w:rsid w:val="00833A3A"/>
    <w:rsid w:val="0083673A"/>
    <w:rsid w:val="008476EB"/>
    <w:rsid w:val="008548A3"/>
    <w:rsid w:val="00873C60"/>
    <w:rsid w:val="00880AE5"/>
    <w:rsid w:val="00883DE9"/>
    <w:rsid w:val="008A2165"/>
    <w:rsid w:val="008C457B"/>
    <w:rsid w:val="008E71A0"/>
    <w:rsid w:val="00900E5D"/>
    <w:rsid w:val="00901E2A"/>
    <w:rsid w:val="009023AC"/>
    <w:rsid w:val="009077AA"/>
    <w:rsid w:val="00922A47"/>
    <w:rsid w:val="00924EA9"/>
    <w:rsid w:val="00963E9B"/>
    <w:rsid w:val="0097518F"/>
    <w:rsid w:val="0097660F"/>
    <w:rsid w:val="009C55CD"/>
    <w:rsid w:val="009D0517"/>
    <w:rsid w:val="009D393C"/>
    <w:rsid w:val="009D7E6D"/>
    <w:rsid w:val="009E4FD0"/>
    <w:rsid w:val="009F66CB"/>
    <w:rsid w:val="00A00C4A"/>
    <w:rsid w:val="00A02019"/>
    <w:rsid w:val="00A05BF2"/>
    <w:rsid w:val="00A10BEE"/>
    <w:rsid w:val="00A13679"/>
    <w:rsid w:val="00A33BC6"/>
    <w:rsid w:val="00A649A1"/>
    <w:rsid w:val="00AA56B4"/>
    <w:rsid w:val="00AA762D"/>
    <w:rsid w:val="00AD28B3"/>
    <w:rsid w:val="00AD7915"/>
    <w:rsid w:val="00AE0348"/>
    <w:rsid w:val="00AE21F7"/>
    <w:rsid w:val="00AE64A3"/>
    <w:rsid w:val="00B3247E"/>
    <w:rsid w:val="00B36F08"/>
    <w:rsid w:val="00B50683"/>
    <w:rsid w:val="00B67F84"/>
    <w:rsid w:val="00B950E8"/>
    <w:rsid w:val="00B95436"/>
    <w:rsid w:val="00BA1B00"/>
    <w:rsid w:val="00BB3BC9"/>
    <w:rsid w:val="00BC0791"/>
    <w:rsid w:val="00BC1A25"/>
    <w:rsid w:val="00BE52EA"/>
    <w:rsid w:val="00BF5FC0"/>
    <w:rsid w:val="00C27325"/>
    <w:rsid w:val="00C42B11"/>
    <w:rsid w:val="00C51B8D"/>
    <w:rsid w:val="00C83A17"/>
    <w:rsid w:val="00C83B24"/>
    <w:rsid w:val="00CA4DDB"/>
    <w:rsid w:val="00CB08A6"/>
    <w:rsid w:val="00CB0FFA"/>
    <w:rsid w:val="00CB676F"/>
    <w:rsid w:val="00CE719D"/>
    <w:rsid w:val="00CF47EB"/>
    <w:rsid w:val="00D02178"/>
    <w:rsid w:val="00D033AC"/>
    <w:rsid w:val="00D06098"/>
    <w:rsid w:val="00D44843"/>
    <w:rsid w:val="00D46F69"/>
    <w:rsid w:val="00D50FFC"/>
    <w:rsid w:val="00D61254"/>
    <w:rsid w:val="00D77446"/>
    <w:rsid w:val="00D83A6B"/>
    <w:rsid w:val="00DB22CB"/>
    <w:rsid w:val="00DB7641"/>
    <w:rsid w:val="00DD3312"/>
    <w:rsid w:val="00DD33D2"/>
    <w:rsid w:val="00DE21A8"/>
    <w:rsid w:val="00DE6136"/>
    <w:rsid w:val="00E3374C"/>
    <w:rsid w:val="00E368EF"/>
    <w:rsid w:val="00E57850"/>
    <w:rsid w:val="00E60678"/>
    <w:rsid w:val="00E71C43"/>
    <w:rsid w:val="00E95A71"/>
    <w:rsid w:val="00E96DF7"/>
    <w:rsid w:val="00ED353C"/>
    <w:rsid w:val="00ED55AB"/>
    <w:rsid w:val="00EF128B"/>
    <w:rsid w:val="00F16BD6"/>
    <w:rsid w:val="00F269CF"/>
    <w:rsid w:val="00F37B55"/>
    <w:rsid w:val="00F43116"/>
    <w:rsid w:val="00FA222C"/>
    <w:rsid w:val="00FA75F4"/>
    <w:rsid w:val="00FB22EB"/>
    <w:rsid w:val="00FB3198"/>
    <w:rsid w:val="00FB4588"/>
    <w:rsid w:val="00FB6094"/>
    <w:rsid w:val="00FD224B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3D605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en\High%20Court%20of%20Australia\Justice%20Keane%20-%20Chambers%20Folders\Associates\Research\Famin%20Ahmed\16.%20Deguisa\JS%20CW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0" ma:contentTypeDescription="Create a new document." ma:contentTypeScope="" ma:versionID="58d6870fdd15d4ec924560cac8df627e">
  <xsd:schema xmlns:xsd="http://www.w3.org/2001/XMLSchema" xmlns:xs="http://www.w3.org/2001/XMLSchema" xmlns:p="http://schemas.microsoft.com/office/2006/metadata/properties" xmlns:ns2="3cc3f26d-d9cc-46f3-89c7-f1482de8c8f1" targetNamespace="http://schemas.microsoft.com/office/2006/metadata/properties" ma:root="true" ma:fieldsID="ce7248f3e425aaaca2909018d98d2ef8" ns2:_="">
    <xsd:import namespace="3cc3f26d-d9cc-46f3-89c7-f1482de8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5C442-69D4-4F73-977F-32773C2C0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F76A3-4F67-41B4-8C9A-612D55415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FFCB2-0CED-42F4-A3E7-71F17485C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572</Words>
  <Characters>2922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2021-03-12T04:51:00Z</cp:lastPrinted>
  <dcterms:created xsi:type="dcterms:W3CDTF">2021-04-07T00:02:00Z</dcterms:created>
  <dcterms:modified xsi:type="dcterms:W3CDTF">2021-04-07T00:02:00Z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