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1866D" w14:textId="50A176EC" w:rsidR="0045059D" w:rsidRDefault="0045059D" w:rsidP="0045059D">
      <w:pPr>
        <w:pStyle w:val="BodyText"/>
        <w:kinsoku w:val="0"/>
        <w:overflowPunct w:val="0"/>
        <w:ind w:left="4021"/>
        <w:rPr>
          <w:sz w:val="20"/>
          <w:szCs w:val="20"/>
        </w:rPr>
      </w:pPr>
      <w:r>
        <w:rPr>
          <w:noProof/>
          <w:sz w:val="20"/>
          <w:szCs w:val="20"/>
        </w:rPr>
        <w:drawing>
          <wp:anchor distT="0" distB="0" distL="114300" distR="114300" simplePos="0" relativeHeight="251658240" behindDoc="0" locked="0" layoutInCell="1" allowOverlap="1" wp14:anchorId="721B9DBC" wp14:editId="70ED09E5">
            <wp:simplePos x="3317358" y="776177"/>
            <wp:positionH relativeFrom="column">
              <wp:align>left</wp:align>
            </wp:positionH>
            <wp:positionV relativeFrom="paragraph">
              <wp:align>top</wp:align>
            </wp:positionV>
            <wp:extent cx="1047750" cy="704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0" cy="704850"/>
                    </a:xfrm>
                    <a:prstGeom prst="rect">
                      <a:avLst/>
                    </a:prstGeom>
                    <a:noFill/>
                    <a:ln>
                      <a:noFill/>
                    </a:ln>
                  </pic:spPr>
                </pic:pic>
              </a:graphicData>
            </a:graphic>
          </wp:anchor>
        </w:drawing>
      </w:r>
      <w:r w:rsidR="00D06052">
        <w:rPr>
          <w:sz w:val="20"/>
          <w:szCs w:val="20"/>
        </w:rPr>
        <w:br w:type="textWrapping" w:clear="all"/>
      </w:r>
    </w:p>
    <w:p w14:paraId="5DBED7F7" w14:textId="77777777" w:rsidR="0045059D" w:rsidRDefault="0045059D" w:rsidP="0045059D">
      <w:pPr>
        <w:pStyle w:val="BodyText"/>
        <w:kinsoku w:val="0"/>
        <w:overflowPunct w:val="0"/>
        <w:spacing w:before="6"/>
        <w:rPr>
          <w:sz w:val="15"/>
          <w:szCs w:val="15"/>
        </w:rPr>
      </w:pPr>
    </w:p>
    <w:p w14:paraId="7D700CCC" w14:textId="77777777" w:rsidR="0045059D" w:rsidRPr="002C3B34" w:rsidRDefault="0045059D" w:rsidP="0045059D">
      <w:pPr>
        <w:pStyle w:val="BodyText"/>
        <w:kinsoku w:val="0"/>
        <w:overflowPunct w:val="0"/>
        <w:spacing w:before="6"/>
        <w:rPr>
          <w:sz w:val="16"/>
          <w:szCs w:val="15"/>
        </w:rPr>
        <w:sectPr w:rsidR="0045059D" w:rsidRPr="002C3B34" w:rsidSect="0045059D">
          <w:headerReference w:type="default" r:id="rId11"/>
          <w:headerReference w:type="first" r:id="rId12"/>
          <w:pgSz w:w="11910" w:h="16850"/>
          <w:pgMar w:top="709" w:right="840" w:bottom="0" w:left="1200" w:header="720" w:footer="720" w:gutter="0"/>
          <w:cols w:space="720"/>
          <w:noEndnote/>
          <w:titlePg/>
          <w:docGrid w:linePitch="299"/>
        </w:sectPr>
      </w:pPr>
    </w:p>
    <w:p w14:paraId="4EA7E7CB" w14:textId="77777777" w:rsidR="0045059D" w:rsidRDefault="0045059D" w:rsidP="0045059D">
      <w:pPr>
        <w:pStyle w:val="BodyText"/>
        <w:kinsoku w:val="0"/>
        <w:overflowPunct w:val="0"/>
        <w:spacing w:before="92"/>
        <w:ind w:left="2356"/>
        <w:jc w:val="center"/>
        <w:rPr>
          <w:rFonts w:ascii="Arial" w:hAnsi="Arial" w:cs="Arial"/>
          <w:spacing w:val="-39"/>
          <w:sz w:val="28"/>
          <w:szCs w:val="28"/>
        </w:rPr>
      </w:pPr>
      <w:bookmarkStart w:id="0" w:name="_GoBack"/>
      <w:r>
        <w:rPr>
          <w:rFonts w:ascii="Arial" w:hAnsi="Arial" w:cs="Arial"/>
          <w:spacing w:val="26"/>
          <w:sz w:val="28"/>
          <w:szCs w:val="28"/>
        </w:rPr>
        <w:t>HIGH COURT OF AUSTRALIA</w:t>
      </w:r>
    </w:p>
    <w:bookmarkEnd w:id="0"/>
    <w:p w14:paraId="1A742FFD" w14:textId="77777777" w:rsidR="0045059D" w:rsidRDefault="0045059D" w:rsidP="0045059D">
      <w:pPr>
        <w:pStyle w:val="BodyText"/>
        <w:kinsoku w:val="0"/>
        <w:overflowPunct w:val="0"/>
        <w:spacing w:before="5"/>
        <w:rPr>
          <w:rFonts w:ascii="Arial" w:hAnsi="Arial" w:cs="Arial"/>
          <w:sz w:val="38"/>
          <w:szCs w:val="38"/>
        </w:rPr>
      </w:pPr>
      <w:r>
        <w:br w:type="column"/>
      </w:r>
    </w:p>
    <w:p w14:paraId="7661BD32" w14:textId="74BDFB44" w:rsidR="0045059D" w:rsidRPr="00EE02C7" w:rsidRDefault="00826C6C" w:rsidP="0045059D">
      <w:pPr>
        <w:pStyle w:val="BodyText"/>
        <w:kinsoku w:val="0"/>
        <w:overflowPunct w:val="0"/>
        <w:spacing w:before="5"/>
        <w:jc w:val="right"/>
        <w:rPr>
          <w:rFonts w:ascii="Arial" w:hAnsi="Arial" w:cs="Arial"/>
          <w:sz w:val="38"/>
          <w:szCs w:val="38"/>
        </w:rPr>
        <w:sectPr w:rsidR="0045059D" w:rsidRPr="00EE02C7">
          <w:type w:val="continuous"/>
          <w:pgSz w:w="11910" w:h="16850"/>
          <w:pgMar w:top="1040" w:right="840" w:bottom="0" w:left="1200" w:header="720" w:footer="720" w:gutter="0"/>
          <w:cols w:num="2" w:space="720" w:equalWidth="0">
            <w:col w:w="7151" w:space="40"/>
            <w:col w:w="2679"/>
          </w:cols>
          <w:noEndnote/>
        </w:sectPr>
      </w:pPr>
      <w:r>
        <w:t>10 March</w:t>
      </w:r>
      <w:r w:rsidR="0045059D">
        <w:t xml:space="preserve"> 2021</w:t>
      </w:r>
    </w:p>
    <w:p w14:paraId="1EA42186" w14:textId="77777777" w:rsidR="0045059D" w:rsidRPr="002C3B34" w:rsidRDefault="0045059D" w:rsidP="0045059D">
      <w:pPr>
        <w:pStyle w:val="BodyText"/>
        <w:kinsoku w:val="0"/>
        <w:overflowPunct w:val="0"/>
        <w:spacing w:before="5"/>
        <w:rPr>
          <w:sz w:val="16"/>
          <w:szCs w:val="18"/>
        </w:rPr>
      </w:pPr>
    </w:p>
    <w:p w14:paraId="19A6DCFC" w14:textId="3B4A4E3A" w:rsidR="0045059D" w:rsidRDefault="00826C6C" w:rsidP="0045059D">
      <w:pPr>
        <w:pStyle w:val="BodyText"/>
        <w:kinsoku w:val="0"/>
        <w:overflowPunct w:val="0"/>
        <w:ind w:right="89"/>
        <w:jc w:val="center"/>
      </w:pPr>
      <w:r>
        <w:rPr>
          <w:u w:val="single"/>
        </w:rPr>
        <w:t xml:space="preserve">THE COMMISSIONER OF TAXATION OF THE COMMONWEALTH OF AUSTRALIA </w:t>
      </w:r>
      <w:r w:rsidR="00302CFB">
        <w:rPr>
          <w:u w:val="single"/>
        </w:rPr>
        <w:t>v</w:t>
      </w:r>
      <w:r>
        <w:rPr>
          <w:u w:val="single"/>
        </w:rPr>
        <w:t xml:space="preserve"> TRAVELEX LIMITED</w:t>
      </w:r>
      <w:r w:rsidR="0045059D">
        <w:br/>
        <w:t>[202</w:t>
      </w:r>
      <w:r w:rsidR="00AF552B">
        <w:t>1</w:t>
      </w:r>
      <w:r w:rsidR="0045059D">
        <w:t xml:space="preserve">] HCA </w:t>
      </w:r>
      <w:r w:rsidR="009661BA">
        <w:t>8</w:t>
      </w:r>
    </w:p>
    <w:p w14:paraId="31787814" w14:textId="77777777" w:rsidR="0045059D" w:rsidRPr="002C3B34" w:rsidRDefault="0045059D" w:rsidP="0045059D">
      <w:pPr>
        <w:pStyle w:val="BodyText"/>
        <w:kinsoku w:val="0"/>
        <w:overflowPunct w:val="0"/>
        <w:rPr>
          <w:sz w:val="16"/>
        </w:rPr>
      </w:pPr>
    </w:p>
    <w:p w14:paraId="648DBCD7" w14:textId="65F9725C" w:rsidR="00BD7BC5" w:rsidRDefault="00D75251" w:rsidP="0045059D">
      <w:pPr>
        <w:pStyle w:val="BodyText"/>
        <w:kinsoku w:val="0"/>
        <w:overflowPunct w:val="0"/>
        <w:ind w:left="103" w:right="178"/>
        <w:jc w:val="both"/>
        <w:rPr>
          <w:spacing w:val="-4"/>
        </w:rPr>
      </w:pPr>
      <w:r>
        <w:rPr>
          <w:spacing w:val="-4"/>
        </w:rPr>
        <w:t>Today, the High Court</w:t>
      </w:r>
      <w:r w:rsidR="00826C6C">
        <w:rPr>
          <w:spacing w:val="-4"/>
        </w:rPr>
        <w:t xml:space="preserve"> unanimously upheld </w:t>
      </w:r>
      <w:r w:rsidR="000E6591">
        <w:rPr>
          <w:spacing w:val="-4"/>
        </w:rPr>
        <w:t xml:space="preserve">an appeal from the </w:t>
      </w:r>
      <w:r w:rsidR="001A1580">
        <w:rPr>
          <w:spacing w:val="-4"/>
        </w:rPr>
        <w:t>Full Court of the Federal Court of Australia</w:t>
      </w:r>
      <w:r w:rsidR="00485903">
        <w:rPr>
          <w:spacing w:val="-4"/>
        </w:rPr>
        <w:t xml:space="preserve"> </w:t>
      </w:r>
      <w:r w:rsidR="0085796F">
        <w:rPr>
          <w:spacing w:val="-4"/>
        </w:rPr>
        <w:t>concerni</w:t>
      </w:r>
      <w:r w:rsidR="009906FE">
        <w:rPr>
          <w:spacing w:val="-4"/>
        </w:rPr>
        <w:t xml:space="preserve">ng the </w:t>
      </w:r>
      <w:r w:rsidR="009906FE" w:rsidRPr="00F61F1F">
        <w:rPr>
          <w:spacing w:val="-4"/>
        </w:rPr>
        <w:t xml:space="preserve">operation of the </w:t>
      </w:r>
      <w:r w:rsidR="009906FE" w:rsidRPr="00F61F1F">
        <w:rPr>
          <w:i/>
          <w:spacing w:val="-4"/>
        </w:rPr>
        <w:t>Taxation Administration Act 1953</w:t>
      </w:r>
      <w:r w:rsidR="009906FE" w:rsidRPr="00F61F1F">
        <w:rPr>
          <w:spacing w:val="-4"/>
        </w:rPr>
        <w:t xml:space="preserve"> (Cth)</w:t>
      </w:r>
      <w:r w:rsidR="00B64674" w:rsidRPr="00F61F1F">
        <w:rPr>
          <w:spacing w:val="-4"/>
        </w:rPr>
        <w:t xml:space="preserve"> (</w:t>
      </w:r>
      <w:r w:rsidR="00781025">
        <w:rPr>
          <w:spacing w:val="-4"/>
        </w:rPr>
        <w:t>"</w:t>
      </w:r>
      <w:r w:rsidR="00B64674" w:rsidRPr="00F61F1F">
        <w:rPr>
          <w:spacing w:val="-4"/>
        </w:rPr>
        <w:t>TAA</w:t>
      </w:r>
      <w:r w:rsidR="00781025">
        <w:rPr>
          <w:spacing w:val="-4"/>
        </w:rPr>
        <w:t>"</w:t>
      </w:r>
      <w:r w:rsidR="00B64674" w:rsidRPr="00F61F1F">
        <w:rPr>
          <w:spacing w:val="-4"/>
        </w:rPr>
        <w:t xml:space="preserve">), the </w:t>
      </w:r>
      <w:r w:rsidR="00B64674" w:rsidRPr="00F61F1F">
        <w:rPr>
          <w:i/>
          <w:spacing w:val="-4"/>
        </w:rPr>
        <w:t xml:space="preserve">Taxation (Interest on Overpayments and Early Payments) Act 1983 </w:t>
      </w:r>
      <w:r w:rsidR="00B64674" w:rsidRPr="00F61F1F">
        <w:rPr>
          <w:spacing w:val="-4"/>
        </w:rPr>
        <w:t>(Cth) (</w:t>
      </w:r>
      <w:r w:rsidR="00066FEB">
        <w:rPr>
          <w:spacing w:val="-4"/>
        </w:rPr>
        <w:t>"</w:t>
      </w:r>
      <w:r w:rsidR="00B64674" w:rsidRPr="00F61F1F">
        <w:rPr>
          <w:spacing w:val="-4"/>
        </w:rPr>
        <w:t>TIOEP Act</w:t>
      </w:r>
      <w:r w:rsidR="00066FEB">
        <w:rPr>
          <w:spacing w:val="-4"/>
        </w:rPr>
        <w:t>"</w:t>
      </w:r>
      <w:r w:rsidR="00B64674" w:rsidRPr="00F61F1F">
        <w:rPr>
          <w:spacing w:val="-4"/>
        </w:rPr>
        <w:t xml:space="preserve">)  and </w:t>
      </w:r>
      <w:r w:rsidR="002D2DDA" w:rsidRPr="00F61F1F">
        <w:rPr>
          <w:spacing w:val="-4"/>
        </w:rPr>
        <w:t xml:space="preserve">the </w:t>
      </w:r>
      <w:r w:rsidR="004A227F" w:rsidRPr="00F61F1F">
        <w:rPr>
          <w:i/>
          <w:spacing w:val="-4"/>
        </w:rPr>
        <w:t>A New</w:t>
      </w:r>
      <w:r w:rsidR="00C15BE0">
        <w:rPr>
          <w:i/>
          <w:spacing w:val="-4"/>
        </w:rPr>
        <w:t xml:space="preserve"> Tax</w:t>
      </w:r>
      <w:r w:rsidR="004A227F" w:rsidRPr="00F61F1F">
        <w:rPr>
          <w:i/>
          <w:spacing w:val="-4"/>
        </w:rPr>
        <w:t xml:space="preserve"> System (Goods and Services Tax) Act 1999 </w:t>
      </w:r>
      <w:r w:rsidR="004A227F" w:rsidRPr="00F61F1F">
        <w:rPr>
          <w:spacing w:val="-4"/>
        </w:rPr>
        <w:t>(Cth) (</w:t>
      </w:r>
      <w:r w:rsidR="00066FEB">
        <w:rPr>
          <w:spacing w:val="-4"/>
        </w:rPr>
        <w:t>"</w:t>
      </w:r>
      <w:r w:rsidR="004A227F" w:rsidRPr="00F61F1F">
        <w:rPr>
          <w:spacing w:val="-4"/>
        </w:rPr>
        <w:t>GST Act</w:t>
      </w:r>
      <w:r w:rsidR="00066FEB">
        <w:rPr>
          <w:spacing w:val="-4"/>
        </w:rPr>
        <w:t>"</w:t>
      </w:r>
      <w:r w:rsidR="004A227F" w:rsidRPr="00F61F1F">
        <w:rPr>
          <w:spacing w:val="-4"/>
        </w:rPr>
        <w:t>) as they</w:t>
      </w:r>
      <w:r w:rsidR="004A227F">
        <w:rPr>
          <w:spacing w:val="-4"/>
        </w:rPr>
        <w:t xml:space="preserve"> </w:t>
      </w:r>
      <w:r w:rsidR="002472AE">
        <w:rPr>
          <w:spacing w:val="-4"/>
        </w:rPr>
        <w:t xml:space="preserve">each </w:t>
      </w:r>
      <w:r w:rsidR="00EA6B43">
        <w:rPr>
          <w:spacing w:val="-4"/>
        </w:rPr>
        <w:t xml:space="preserve">stood at the relevant time. </w:t>
      </w:r>
    </w:p>
    <w:p w14:paraId="0B666253" w14:textId="77777777" w:rsidR="00BD7BC5" w:rsidRDefault="00BD7BC5" w:rsidP="0045059D">
      <w:pPr>
        <w:pStyle w:val="BodyText"/>
        <w:kinsoku w:val="0"/>
        <w:overflowPunct w:val="0"/>
        <w:ind w:left="103" w:right="178"/>
        <w:jc w:val="both"/>
        <w:rPr>
          <w:spacing w:val="-4"/>
        </w:rPr>
      </w:pPr>
    </w:p>
    <w:p w14:paraId="4C42E93B" w14:textId="65AC6967" w:rsidR="008807D2" w:rsidRDefault="00FE40A9" w:rsidP="0045059D">
      <w:pPr>
        <w:pStyle w:val="BodyText"/>
        <w:kinsoku w:val="0"/>
        <w:overflowPunct w:val="0"/>
        <w:ind w:left="103" w:right="178"/>
        <w:jc w:val="both"/>
        <w:rPr>
          <w:spacing w:val="-4"/>
        </w:rPr>
      </w:pPr>
      <w:r w:rsidRPr="00F61F1F">
        <w:rPr>
          <w:spacing w:val="-4"/>
        </w:rPr>
        <w:t>Under the TAA, the Commissioner</w:t>
      </w:r>
      <w:r>
        <w:rPr>
          <w:spacing w:val="-4"/>
        </w:rPr>
        <w:t xml:space="preserve"> can establish a Running Balance Account (</w:t>
      </w:r>
      <w:r w:rsidR="00066FEB">
        <w:rPr>
          <w:spacing w:val="-4"/>
        </w:rPr>
        <w:t>"</w:t>
      </w:r>
      <w:r>
        <w:rPr>
          <w:spacing w:val="-4"/>
        </w:rPr>
        <w:t>RBA</w:t>
      </w:r>
      <w:r w:rsidR="00066FEB">
        <w:rPr>
          <w:spacing w:val="-4"/>
        </w:rPr>
        <w:t>"</w:t>
      </w:r>
      <w:r>
        <w:rPr>
          <w:spacing w:val="-4"/>
        </w:rPr>
        <w:t>) for a taxpayer. The Commissioner can allocate to an RBA amounts due to the Commonwealth under taxation laws and must allocate to an RBA certain amounts that the Commissioner must pay to the taxpayer under taxation laws. The resulting balance can be either an "RBA deficit</w:t>
      </w:r>
      <w:r w:rsidR="00C15BE0">
        <w:rPr>
          <w:spacing w:val="-4"/>
        </w:rPr>
        <w:t xml:space="preserve"> debt</w:t>
      </w:r>
      <w:r>
        <w:rPr>
          <w:spacing w:val="-4"/>
        </w:rPr>
        <w:t xml:space="preserve">", which the taxpayer must pay to the Commonwealth, or an "RBA surplus", which the Commissioner must pay to the taxpayer.  </w:t>
      </w:r>
      <w:r w:rsidR="009906FE">
        <w:rPr>
          <w:spacing w:val="-4"/>
        </w:rPr>
        <w:t xml:space="preserve">The short question in the appeal was whether an RBA surplus can result from the Commissioner allocating to an RBA an amount that the Commissioner is not obliged to pay a taxpayer under a taxation law. The High Court </w:t>
      </w:r>
      <w:r w:rsidR="00671F57">
        <w:rPr>
          <w:spacing w:val="-4"/>
        </w:rPr>
        <w:t xml:space="preserve">held </w:t>
      </w:r>
      <w:r w:rsidR="009906FE">
        <w:rPr>
          <w:spacing w:val="-4"/>
        </w:rPr>
        <w:t xml:space="preserve">that it could not. </w:t>
      </w:r>
    </w:p>
    <w:p w14:paraId="79E4E244" w14:textId="77777777" w:rsidR="008807D2" w:rsidRDefault="008807D2" w:rsidP="0045059D">
      <w:pPr>
        <w:pStyle w:val="BodyText"/>
        <w:kinsoku w:val="0"/>
        <w:overflowPunct w:val="0"/>
        <w:ind w:left="103" w:right="178"/>
        <w:jc w:val="both"/>
        <w:rPr>
          <w:spacing w:val="-4"/>
        </w:rPr>
      </w:pPr>
    </w:p>
    <w:p w14:paraId="2AF9752A" w14:textId="2FE29E8D" w:rsidR="00D00345" w:rsidRDefault="00990255" w:rsidP="0045059D">
      <w:pPr>
        <w:pStyle w:val="BodyText"/>
        <w:kinsoku w:val="0"/>
        <w:overflowPunct w:val="0"/>
        <w:ind w:left="103" w:right="178"/>
        <w:jc w:val="both"/>
        <w:rPr>
          <w:spacing w:val="-4"/>
        </w:rPr>
      </w:pPr>
      <w:r>
        <w:rPr>
          <w:spacing w:val="-4"/>
        </w:rPr>
        <w:t>The background to th</w:t>
      </w:r>
      <w:r w:rsidR="00227796">
        <w:rPr>
          <w:spacing w:val="-4"/>
        </w:rPr>
        <w:t>is proceeding is</w:t>
      </w:r>
      <w:r>
        <w:rPr>
          <w:spacing w:val="-4"/>
        </w:rPr>
        <w:t xml:space="preserve"> that a</w:t>
      </w:r>
      <w:r w:rsidR="00A0366C">
        <w:rPr>
          <w:spacing w:val="-4"/>
        </w:rPr>
        <w:t xml:space="preserve">n earlier </w:t>
      </w:r>
      <w:r w:rsidR="00805595">
        <w:rPr>
          <w:spacing w:val="-4"/>
        </w:rPr>
        <w:t>decision of this Court</w:t>
      </w:r>
      <w:r w:rsidR="00A0366C">
        <w:rPr>
          <w:spacing w:val="-4"/>
        </w:rPr>
        <w:t xml:space="preserve">, </w:t>
      </w:r>
      <w:r w:rsidR="00805595" w:rsidRPr="00F61F1F">
        <w:rPr>
          <w:i/>
          <w:spacing w:val="-4"/>
        </w:rPr>
        <w:t xml:space="preserve">Travelex Ltd v </w:t>
      </w:r>
      <w:r w:rsidR="002549A2" w:rsidRPr="00F61F1F">
        <w:rPr>
          <w:i/>
          <w:spacing w:val="-4"/>
        </w:rPr>
        <w:t>Federal Commissioner of Taxation</w:t>
      </w:r>
      <w:r w:rsidR="002549A2">
        <w:rPr>
          <w:spacing w:val="-4"/>
        </w:rPr>
        <w:t xml:space="preserve"> (2010) 241 CLR 510, </w:t>
      </w:r>
      <w:r w:rsidR="00A0366C">
        <w:rPr>
          <w:spacing w:val="-4"/>
        </w:rPr>
        <w:t xml:space="preserve">established that </w:t>
      </w:r>
      <w:r w:rsidR="00BF2598">
        <w:rPr>
          <w:spacing w:val="-4"/>
        </w:rPr>
        <w:t xml:space="preserve">certain supplies made by Travelex were GST free. </w:t>
      </w:r>
      <w:r w:rsidR="0056008C">
        <w:rPr>
          <w:spacing w:val="-4"/>
        </w:rPr>
        <w:t>Following this decision</w:t>
      </w:r>
      <w:r w:rsidR="0026583E">
        <w:rPr>
          <w:spacing w:val="-4"/>
        </w:rPr>
        <w:t xml:space="preserve">, </w:t>
      </w:r>
      <w:r w:rsidR="00B15C9C">
        <w:rPr>
          <w:spacing w:val="-4"/>
        </w:rPr>
        <w:t xml:space="preserve">and on Travelex's request, the </w:t>
      </w:r>
      <w:r w:rsidR="0026583E">
        <w:rPr>
          <w:spacing w:val="-4"/>
        </w:rPr>
        <w:t xml:space="preserve">Commissioner </w:t>
      </w:r>
      <w:r w:rsidR="00572200">
        <w:rPr>
          <w:spacing w:val="-4"/>
        </w:rPr>
        <w:t>amend</w:t>
      </w:r>
      <w:r w:rsidR="00B15C9C">
        <w:rPr>
          <w:spacing w:val="-4"/>
        </w:rPr>
        <w:t>ed</w:t>
      </w:r>
      <w:r w:rsidR="00572200">
        <w:rPr>
          <w:spacing w:val="-4"/>
        </w:rPr>
        <w:t xml:space="preserve"> Travelex's GST return for the relevant tax period</w:t>
      </w:r>
      <w:r w:rsidR="00DC5E50">
        <w:rPr>
          <w:spacing w:val="-4"/>
        </w:rPr>
        <w:t>, p</w:t>
      </w:r>
      <w:r w:rsidR="00572200">
        <w:rPr>
          <w:spacing w:val="-4"/>
        </w:rPr>
        <w:t xml:space="preserve">roceeding on the assumption that it was </w:t>
      </w:r>
      <w:r w:rsidR="00023FDC">
        <w:rPr>
          <w:spacing w:val="-4"/>
        </w:rPr>
        <w:t xml:space="preserve">then </w:t>
      </w:r>
      <w:r w:rsidR="00572200">
        <w:rPr>
          <w:spacing w:val="-4"/>
        </w:rPr>
        <w:t>permissible</w:t>
      </w:r>
      <w:r w:rsidR="00023FDC">
        <w:rPr>
          <w:spacing w:val="-4"/>
        </w:rPr>
        <w:t xml:space="preserve"> to amend a GST return</w:t>
      </w:r>
      <w:r w:rsidR="006A3319">
        <w:rPr>
          <w:spacing w:val="-4"/>
        </w:rPr>
        <w:t xml:space="preserve">. As a result, </w:t>
      </w:r>
      <w:r w:rsidR="00783B01">
        <w:rPr>
          <w:spacing w:val="-4"/>
        </w:rPr>
        <w:t xml:space="preserve">Travelex's RBA </w:t>
      </w:r>
      <w:r w:rsidR="006A3319">
        <w:rPr>
          <w:spacing w:val="-4"/>
        </w:rPr>
        <w:t xml:space="preserve">was credited </w:t>
      </w:r>
      <w:r w:rsidR="00783B01">
        <w:rPr>
          <w:spacing w:val="-4"/>
        </w:rPr>
        <w:t>with $149</w:t>
      </w:r>
      <w:r w:rsidR="0059452D">
        <w:rPr>
          <w:spacing w:val="-4"/>
        </w:rPr>
        <w:t>,</w:t>
      </w:r>
      <w:r w:rsidR="00783B01">
        <w:rPr>
          <w:spacing w:val="-4"/>
        </w:rPr>
        <w:t xml:space="preserve">020. </w:t>
      </w:r>
      <w:r w:rsidR="00D00345">
        <w:rPr>
          <w:spacing w:val="-4"/>
        </w:rPr>
        <w:t>Th</w:t>
      </w:r>
      <w:r w:rsidR="004F0C05">
        <w:rPr>
          <w:spacing w:val="-4"/>
        </w:rPr>
        <w:t>e present</w:t>
      </w:r>
      <w:r w:rsidR="00D00345">
        <w:rPr>
          <w:spacing w:val="-4"/>
        </w:rPr>
        <w:t xml:space="preserve"> case commenced</w:t>
      </w:r>
      <w:r w:rsidR="006D016A">
        <w:rPr>
          <w:spacing w:val="-4"/>
        </w:rPr>
        <w:t xml:space="preserve">, in the Federal Court of Australia, </w:t>
      </w:r>
      <w:r w:rsidR="00D00345">
        <w:rPr>
          <w:spacing w:val="-4"/>
        </w:rPr>
        <w:t xml:space="preserve">as a dispute about </w:t>
      </w:r>
      <w:r w:rsidR="008346F9">
        <w:rPr>
          <w:spacing w:val="-4"/>
        </w:rPr>
        <w:t xml:space="preserve">the date from which </w:t>
      </w:r>
      <w:r w:rsidR="0059452D">
        <w:rPr>
          <w:spacing w:val="-4"/>
        </w:rPr>
        <w:t>a</w:t>
      </w:r>
      <w:r w:rsidR="008346F9">
        <w:rPr>
          <w:spacing w:val="-4"/>
        </w:rPr>
        <w:t xml:space="preserve"> commonly assumed obligation to pay interest </w:t>
      </w:r>
      <w:r w:rsidR="0059452D">
        <w:rPr>
          <w:spacing w:val="-4"/>
        </w:rPr>
        <w:t xml:space="preserve">on the $149,020 </w:t>
      </w:r>
      <w:r w:rsidR="005F7E5C">
        <w:rPr>
          <w:spacing w:val="-4"/>
        </w:rPr>
        <w:t xml:space="preserve">under the </w:t>
      </w:r>
      <w:r w:rsidR="00B55055">
        <w:rPr>
          <w:spacing w:val="-4"/>
        </w:rPr>
        <w:t>TIOEP Act</w:t>
      </w:r>
      <w:r w:rsidR="00B16BA7">
        <w:rPr>
          <w:spacing w:val="-4"/>
        </w:rPr>
        <w:t xml:space="preserve"> arose. </w:t>
      </w:r>
      <w:r w:rsidR="00E8784C">
        <w:rPr>
          <w:spacing w:val="-4"/>
        </w:rPr>
        <w:t>At first instance, t</w:t>
      </w:r>
      <w:r w:rsidR="00836AAD">
        <w:rPr>
          <w:spacing w:val="-4"/>
        </w:rPr>
        <w:t>he F</w:t>
      </w:r>
      <w:r w:rsidR="0056128A">
        <w:rPr>
          <w:spacing w:val="-4"/>
        </w:rPr>
        <w:t>ederal</w:t>
      </w:r>
      <w:r w:rsidR="00836AAD">
        <w:rPr>
          <w:spacing w:val="-4"/>
        </w:rPr>
        <w:t xml:space="preserve"> Court</w:t>
      </w:r>
      <w:r w:rsidR="00B91557">
        <w:rPr>
          <w:spacing w:val="-4"/>
        </w:rPr>
        <w:t xml:space="preserve"> held that neither Travelex nor the Commissioner had statutory authority to amend Travelex's GST return and concluded that the Commissioner was obliged to pay interest</w:t>
      </w:r>
      <w:r w:rsidR="00A816ED">
        <w:rPr>
          <w:spacing w:val="-4"/>
        </w:rPr>
        <w:t>.</w:t>
      </w:r>
      <w:r w:rsidR="00BC5492">
        <w:rPr>
          <w:spacing w:val="-4"/>
        </w:rPr>
        <w:t xml:space="preserve">. The Commissioner appealed to the Full Court, on grounds including that </w:t>
      </w:r>
      <w:r w:rsidR="00F0102D">
        <w:rPr>
          <w:spacing w:val="-4"/>
        </w:rPr>
        <w:t>the Federal Court</w:t>
      </w:r>
      <w:r w:rsidR="00EE08D3">
        <w:rPr>
          <w:spacing w:val="-4"/>
        </w:rPr>
        <w:t xml:space="preserve"> had</w:t>
      </w:r>
      <w:r w:rsidR="00F0102D">
        <w:rPr>
          <w:spacing w:val="-4"/>
        </w:rPr>
        <w:t xml:space="preserve"> erred in concluding that the Commissioner was </w:t>
      </w:r>
      <w:r w:rsidR="00F73707">
        <w:rPr>
          <w:spacing w:val="-4"/>
        </w:rPr>
        <w:t>obliged to pay interest on th</w:t>
      </w:r>
      <w:r w:rsidR="00EB2683">
        <w:rPr>
          <w:spacing w:val="-4"/>
        </w:rPr>
        <w:t xml:space="preserve">e </w:t>
      </w:r>
      <w:r w:rsidR="007F5839">
        <w:rPr>
          <w:spacing w:val="-4"/>
        </w:rPr>
        <w:t xml:space="preserve">$149,020 </w:t>
      </w:r>
      <w:r w:rsidR="00F73707">
        <w:rPr>
          <w:spacing w:val="-4"/>
        </w:rPr>
        <w:t xml:space="preserve">to Travelex under the TIOEP Act at all. </w:t>
      </w:r>
      <w:r w:rsidR="001B2230">
        <w:rPr>
          <w:spacing w:val="-4"/>
        </w:rPr>
        <w:t>The Full</w:t>
      </w:r>
      <w:r w:rsidR="002A49C9">
        <w:rPr>
          <w:spacing w:val="-4"/>
        </w:rPr>
        <w:t xml:space="preserve"> </w:t>
      </w:r>
      <w:r w:rsidR="001B2230">
        <w:rPr>
          <w:spacing w:val="-4"/>
        </w:rPr>
        <w:t xml:space="preserve">Court unanimously agreed that Travelex and the Commissioner </w:t>
      </w:r>
      <w:r w:rsidR="00B20D1D">
        <w:rPr>
          <w:spacing w:val="-4"/>
        </w:rPr>
        <w:t xml:space="preserve">lacked statutory authority to amend the GST return </w:t>
      </w:r>
      <w:r w:rsidR="002A49C9">
        <w:rPr>
          <w:spacing w:val="-4"/>
        </w:rPr>
        <w:t xml:space="preserve">but </w:t>
      </w:r>
      <w:r w:rsidR="00B20D1D">
        <w:rPr>
          <w:spacing w:val="-4"/>
        </w:rPr>
        <w:t>divided as to the consequence of th</w:t>
      </w:r>
      <w:r w:rsidR="00203305">
        <w:rPr>
          <w:spacing w:val="-4"/>
        </w:rPr>
        <w:t xml:space="preserve">at lack of authority. </w:t>
      </w:r>
      <w:r w:rsidR="007139B1">
        <w:rPr>
          <w:spacing w:val="-4"/>
        </w:rPr>
        <w:t xml:space="preserve">The majority </w:t>
      </w:r>
      <w:r w:rsidR="00E1768A">
        <w:rPr>
          <w:spacing w:val="-4"/>
        </w:rPr>
        <w:t>held t</w:t>
      </w:r>
      <w:r w:rsidR="000640C4">
        <w:rPr>
          <w:spacing w:val="-4"/>
        </w:rPr>
        <w:t>hat the fact of the allocation to the RBA was enough to result in the amount having the legal status of an RBA surplus</w:t>
      </w:r>
      <w:r w:rsidR="004A06DE">
        <w:rPr>
          <w:spacing w:val="-4"/>
        </w:rPr>
        <w:t>, with the consequence that the Commissioner had to pay Travelex the interest under the TIOEP Act</w:t>
      </w:r>
      <w:r w:rsidR="00816AB2">
        <w:rPr>
          <w:spacing w:val="-4"/>
        </w:rPr>
        <w:t xml:space="preserve">. </w:t>
      </w:r>
    </w:p>
    <w:p w14:paraId="07E42FB5" w14:textId="21CE3029" w:rsidR="000640C4" w:rsidRDefault="000640C4" w:rsidP="0045059D">
      <w:pPr>
        <w:pStyle w:val="BodyText"/>
        <w:kinsoku w:val="0"/>
        <w:overflowPunct w:val="0"/>
        <w:ind w:left="103" w:right="178"/>
        <w:jc w:val="both"/>
        <w:rPr>
          <w:spacing w:val="-4"/>
        </w:rPr>
      </w:pPr>
    </w:p>
    <w:p w14:paraId="7E1A6297" w14:textId="797D0C78" w:rsidR="000640C4" w:rsidRDefault="004A06DE" w:rsidP="0045059D">
      <w:pPr>
        <w:pStyle w:val="BodyText"/>
        <w:kinsoku w:val="0"/>
        <w:overflowPunct w:val="0"/>
        <w:ind w:left="103" w:right="178"/>
        <w:jc w:val="both"/>
        <w:rPr>
          <w:spacing w:val="-4"/>
        </w:rPr>
      </w:pPr>
      <w:r>
        <w:rPr>
          <w:spacing w:val="-4"/>
        </w:rPr>
        <w:t xml:space="preserve">By grant of special leave, the Commissioner appealed to the High Court. </w:t>
      </w:r>
      <w:r w:rsidR="00C939A3">
        <w:rPr>
          <w:spacing w:val="-4"/>
        </w:rPr>
        <w:t xml:space="preserve">The High </w:t>
      </w:r>
      <w:r w:rsidR="00B24447">
        <w:rPr>
          <w:spacing w:val="-4"/>
        </w:rPr>
        <w:t xml:space="preserve">Court </w:t>
      </w:r>
      <w:r w:rsidR="00F91BA8">
        <w:rPr>
          <w:spacing w:val="-4"/>
        </w:rPr>
        <w:t>h</w:t>
      </w:r>
      <w:r w:rsidR="002C7193">
        <w:rPr>
          <w:spacing w:val="-4"/>
        </w:rPr>
        <w:t>eld</w:t>
      </w:r>
      <w:r w:rsidR="00F91BA8">
        <w:rPr>
          <w:spacing w:val="-4"/>
        </w:rPr>
        <w:t xml:space="preserve"> that the</w:t>
      </w:r>
      <w:r w:rsidR="00F53A81">
        <w:rPr>
          <w:spacing w:val="-4"/>
        </w:rPr>
        <w:t xml:space="preserve"> efficacy of an allocation to result in an RBA surplus </w:t>
      </w:r>
      <w:r w:rsidR="00F91BA8">
        <w:rPr>
          <w:spacing w:val="-4"/>
        </w:rPr>
        <w:t xml:space="preserve">under the TAA </w:t>
      </w:r>
      <w:r w:rsidR="00F53A81">
        <w:rPr>
          <w:spacing w:val="-4"/>
        </w:rPr>
        <w:t xml:space="preserve">depends </w:t>
      </w:r>
      <w:r w:rsidR="00F91BA8">
        <w:rPr>
          <w:spacing w:val="-4"/>
        </w:rPr>
        <w:t xml:space="preserve">on the amount allocated answering the objective description </w:t>
      </w:r>
      <w:r w:rsidR="00C539FC">
        <w:rPr>
          <w:spacing w:val="-4"/>
        </w:rPr>
        <w:t xml:space="preserve">of an amount due </w:t>
      </w:r>
      <w:r w:rsidR="00F6780C">
        <w:rPr>
          <w:spacing w:val="-4"/>
        </w:rPr>
        <w:t xml:space="preserve">to the Commonwealth </w:t>
      </w:r>
      <w:r w:rsidR="00C539FC">
        <w:rPr>
          <w:spacing w:val="-4"/>
        </w:rPr>
        <w:t>under a taxation law. Because the Commissioner and Travelex lacked statutory authority to amend the GST return, the balance recorded in the RBA did not</w:t>
      </w:r>
      <w:r w:rsidR="001E33FD">
        <w:rPr>
          <w:spacing w:val="-4"/>
        </w:rPr>
        <w:t xml:space="preserve"> </w:t>
      </w:r>
      <w:r w:rsidR="00C539FC">
        <w:rPr>
          <w:spacing w:val="-4"/>
        </w:rPr>
        <w:t>meet th</w:t>
      </w:r>
      <w:r w:rsidR="001E33FD">
        <w:rPr>
          <w:spacing w:val="-4"/>
        </w:rPr>
        <w:t>at</w:t>
      </w:r>
      <w:r w:rsidR="00C539FC">
        <w:rPr>
          <w:spacing w:val="-4"/>
        </w:rPr>
        <w:t xml:space="preserve"> objective description.  </w:t>
      </w:r>
      <w:r w:rsidR="009110C7">
        <w:rPr>
          <w:spacing w:val="-4"/>
        </w:rPr>
        <w:t>As a result, no interest is payable by the Commissioner to Travelex</w:t>
      </w:r>
      <w:r w:rsidR="002C7193">
        <w:rPr>
          <w:spacing w:val="-4"/>
        </w:rPr>
        <w:t xml:space="preserve"> </w:t>
      </w:r>
      <w:r w:rsidR="00A81A4E">
        <w:rPr>
          <w:spacing w:val="-4"/>
        </w:rPr>
        <w:t xml:space="preserve">under the TIOEP Act. </w:t>
      </w:r>
    </w:p>
    <w:p w14:paraId="7EE130A7" w14:textId="64CE78A3" w:rsidR="00B443CA" w:rsidRDefault="00B443CA" w:rsidP="00F61F1F">
      <w:pPr>
        <w:pStyle w:val="BodyText"/>
        <w:kinsoku w:val="0"/>
        <w:overflowPunct w:val="0"/>
        <w:ind w:left="103" w:right="178"/>
        <w:jc w:val="both"/>
        <w:rPr>
          <w:spacing w:val="-4"/>
        </w:rPr>
      </w:pPr>
    </w:p>
    <w:p w14:paraId="2014669D" w14:textId="77777777" w:rsidR="0045059D" w:rsidRPr="002C3B34" w:rsidRDefault="0045059D" w:rsidP="00107D6A">
      <w:pPr>
        <w:pStyle w:val="ListParagraph"/>
        <w:tabs>
          <w:tab w:val="left" w:pos="464"/>
        </w:tabs>
        <w:kinsoku w:val="0"/>
        <w:overflowPunct w:val="0"/>
        <w:ind w:firstLine="0"/>
        <w:rPr>
          <w:i/>
          <w:iCs/>
          <w:sz w:val="20"/>
          <w:szCs w:val="22"/>
        </w:rPr>
      </w:pPr>
      <w:r w:rsidRPr="002C3B34">
        <w:rPr>
          <w:i/>
          <w:iCs/>
          <w:sz w:val="20"/>
          <w:szCs w:val="22"/>
        </w:rPr>
        <w:t>This</w:t>
      </w:r>
      <w:r w:rsidRPr="002C3B34">
        <w:rPr>
          <w:i/>
          <w:iCs/>
          <w:spacing w:val="-2"/>
          <w:sz w:val="20"/>
          <w:szCs w:val="22"/>
        </w:rPr>
        <w:t xml:space="preserve"> </w:t>
      </w:r>
      <w:r w:rsidRPr="002C3B34">
        <w:rPr>
          <w:i/>
          <w:iCs/>
          <w:sz w:val="20"/>
          <w:szCs w:val="22"/>
        </w:rPr>
        <w:t>statement</w:t>
      </w:r>
      <w:r w:rsidRPr="002C3B34">
        <w:rPr>
          <w:i/>
          <w:iCs/>
          <w:spacing w:val="-2"/>
          <w:sz w:val="20"/>
          <w:szCs w:val="22"/>
        </w:rPr>
        <w:t xml:space="preserve"> </w:t>
      </w:r>
      <w:r w:rsidRPr="002C3B34">
        <w:rPr>
          <w:i/>
          <w:iCs/>
          <w:sz w:val="20"/>
          <w:szCs w:val="22"/>
        </w:rPr>
        <w:t>is</w:t>
      </w:r>
      <w:r w:rsidRPr="002C3B34">
        <w:rPr>
          <w:i/>
          <w:iCs/>
          <w:spacing w:val="-2"/>
          <w:sz w:val="20"/>
          <w:szCs w:val="22"/>
        </w:rPr>
        <w:t xml:space="preserve"> </w:t>
      </w:r>
      <w:r w:rsidRPr="002C3B34">
        <w:rPr>
          <w:i/>
          <w:iCs/>
          <w:sz w:val="20"/>
          <w:szCs w:val="22"/>
        </w:rPr>
        <w:t>not</w:t>
      </w:r>
      <w:r w:rsidRPr="002C3B34">
        <w:rPr>
          <w:i/>
          <w:iCs/>
          <w:spacing w:val="-2"/>
          <w:sz w:val="20"/>
          <w:szCs w:val="22"/>
        </w:rPr>
        <w:t xml:space="preserve"> </w:t>
      </w:r>
      <w:r w:rsidRPr="002C3B34">
        <w:rPr>
          <w:i/>
          <w:iCs/>
          <w:sz w:val="20"/>
          <w:szCs w:val="22"/>
        </w:rPr>
        <w:t>intended</w:t>
      </w:r>
      <w:r w:rsidRPr="002C3B34">
        <w:rPr>
          <w:i/>
          <w:iCs/>
          <w:spacing w:val="-3"/>
          <w:sz w:val="20"/>
          <w:szCs w:val="22"/>
        </w:rPr>
        <w:t xml:space="preserve"> </w:t>
      </w:r>
      <w:r w:rsidRPr="002C3B34">
        <w:rPr>
          <w:i/>
          <w:iCs/>
          <w:sz w:val="20"/>
          <w:szCs w:val="22"/>
        </w:rPr>
        <w:t>to</w:t>
      </w:r>
      <w:r w:rsidRPr="002C3B34">
        <w:rPr>
          <w:i/>
          <w:iCs/>
          <w:spacing w:val="-3"/>
          <w:sz w:val="20"/>
          <w:szCs w:val="22"/>
        </w:rPr>
        <w:t xml:space="preserve"> </w:t>
      </w:r>
      <w:r w:rsidRPr="002C3B34">
        <w:rPr>
          <w:i/>
          <w:iCs/>
          <w:sz w:val="20"/>
          <w:szCs w:val="22"/>
        </w:rPr>
        <w:t>be</w:t>
      </w:r>
      <w:r w:rsidRPr="002C3B34">
        <w:rPr>
          <w:i/>
          <w:iCs/>
          <w:spacing w:val="-2"/>
          <w:sz w:val="20"/>
          <w:szCs w:val="22"/>
        </w:rPr>
        <w:t xml:space="preserve"> </w:t>
      </w:r>
      <w:r w:rsidRPr="002C3B34">
        <w:rPr>
          <w:i/>
          <w:iCs/>
          <w:sz w:val="20"/>
          <w:szCs w:val="22"/>
        </w:rPr>
        <w:t>a</w:t>
      </w:r>
      <w:r w:rsidRPr="002C3B34">
        <w:rPr>
          <w:i/>
          <w:iCs/>
          <w:spacing w:val="-2"/>
          <w:sz w:val="20"/>
          <w:szCs w:val="22"/>
        </w:rPr>
        <w:t xml:space="preserve"> </w:t>
      </w:r>
      <w:r w:rsidRPr="002C3B34">
        <w:rPr>
          <w:i/>
          <w:iCs/>
          <w:sz w:val="20"/>
          <w:szCs w:val="22"/>
        </w:rPr>
        <w:t>substitute</w:t>
      </w:r>
      <w:r w:rsidRPr="002C3B34">
        <w:rPr>
          <w:i/>
          <w:iCs/>
          <w:spacing w:val="-2"/>
          <w:sz w:val="20"/>
          <w:szCs w:val="22"/>
        </w:rPr>
        <w:t xml:space="preserve"> </w:t>
      </w:r>
      <w:r w:rsidRPr="002C3B34">
        <w:rPr>
          <w:i/>
          <w:iCs/>
          <w:sz w:val="20"/>
          <w:szCs w:val="22"/>
        </w:rPr>
        <w:t>for</w:t>
      </w:r>
      <w:r w:rsidRPr="002C3B34">
        <w:rPr>
          <w:i/>
          <w:iCs/>
          <w:spacing w:val="-2"/>
          <w:sz w:val="20"/>
          <w:szCs w:val="22"/>
        </w:rPr>
        <w:t xml:space="preserve"> </w:t>
      </w:r>
      <w:r w:rsidRPr="002C3B34">
        <w:rPr>
          <w:i/>
          <w:iCs/>
          <w:sz w:val="20"/>
          <w:szCs w:val="22"/>
        </w:rPr>
        <w:t>the</w:t>
      </w:r>
      <w:r w:rsidRPr="002C3B34">
        <w:rPr>
          <w:i/>
          <w:iCs/>
          <w:spacing w:val="-5"/>
          <w:sz w:val="20"/>
          <w:szCs w:val="22"/>
        </w:rPr>
        <w:t xml:space="preserve"> </w:t>
      </w:r>
      <w:r w:rsidRPr="002C3B34">
        <w:rPr>
          <w:i/>
          <w:iCs/>
          <w:sz w:val="20"/>
          <w:szCs w:val="22"/>
        </w:rPr>
        <w:t>reasons</w:t>
      </w:r>
      <w:r w:rsidRPr="002C3B34">
        <w:rPr>
          <w:i/>
          <w:iCs/>
          <w:spacing w:val="-2"/>
          <w:sz w:val="20"/>
          <w:szCs w:val="22"/>
        </w:rPr>
        <w:t xml:space="preserve"> </w:t>
      </w:r>
      <w:r w:rsidRPr="002C3B34">
        <w:rPr>
          <w:i/>
          <w:iCs/>
          <w:sz w:val="20"/>
          <w:szCs w:val="22"/>
        </w:rPr>
        <w:t>of</w:t>
      </w:r>
      <w:r w:rsidRPr="002C3B34">
        <w:rPr>
          <w:i/>
          <w:iCs/>
          <w:spacing w:val="-2"/>
          <w:sz w:val="20"/>
          <w:szCs w:val="22"/>
        </w:rPr>
        <w:t xml:space="preserve"> </w:t>
      </w:r>
      <w:r w:rsidRPr="002C3B34">
        <w:rPr>
          <w:i/>
          <w:iCs/>
          <w:sz w:val="20"/>
          <w:szCs w:val="22"/>
        </w:rPr>
        <w:t>the</w:t>
      </w:r>
      <w:r w:rsidRPr="002C3B34">
        <w:rPr>
          <w:i/>
          <w:iCs/>
          <w:spacing w:val="-2"/>
          <w:sz w:val="20"/>
          <w:szCs w:val="22"/>
        </w:rPr>
        <w:t xml:space="preserve"> </w:t>
      </w:r>
      <w:r w:rsidRPr="002C3B34">
        <w:rPr>
          <w:i/>
          <w:iCs/>
          <w:sz w:val="20"/>
          <w:szCs w:val="22"/>
        </w:rPr>
        <w:t>High</w:t>
      </w:r>
      <w:r w:rsidRPr="002C3B34">
        <w:rPr>
          <w:i/>
          <w:iCs/>
          <w:spacing w:val="-2"/>
          <w:sz w:val="20"/>
          <w:szCs w:val="22"/>
        </w:rPr>
        <w:t xml:space="preserve"> </w:t>
      </w:r>
      <w:r w:rsidRPr="002C3B34">
        <w:rPr>
          <w:i/>
          <w:iCs/>
          <w:sz w:val="20"/>
          <w:szCs w:val="22"/>
        </w:rPr>
        <w:t>Court</w:t>
      </w:r>
      <w:r w:rsidRPr="002C3B34">
        <w:rPr>
          <w:i/>
          <w:iCs/>
          <w:spacing w:val="-2"/>
          <w:sz w:val="20"/>
          <w:szCs w:val="22"/>
        </w:rPr>
        <w:t xml:space="preserve"> </w:t>
      </w:r>
      <w:r w:rsidRPr="002C3B34">
        <w:rPr>
          <w:i/>
          <w:iCs/>
          <w:sz w:val="20"/>
          <w:szCs w:val="22"/>
        </w:rPr>
        <w:t>or</w:t>
      </w:r>
      <w:r w:rsidRPr="002C3B34">
        <w:rPr>
          <w:i/>
          <w:iCs/>
          <w:spacing w:val="-2"/>
          <w:sz w:val="20"/>
          <w:szCs w:val="22"/>
        </w:rPr>
        <w:t xml:space="preserve"> </w:t>
      </w:r>
      <w:r w:rsidRPr="002C3B34">
        <w:rPr>
          <w:i/>
          <w:iCs/>
          <w:sz w:val="20"/>
          <w:szCs w:val="22"/>
        </w:rPr>
        <w:t>to</w:t>
      </w:r>
      <w:r w:rsidRPr="002C3B34">
        <w:rPr>
          <w:i/>
          <w:iCs/>
          <w:spacing w:val="-3"/>
          <w:sz w:val="20"/>
          <w:szCs w:val="22"/>
        </w:rPr>
        <w:t xml:space="preserve"> </w:t>
      </w:r>
      <w:r w:rsidRPr="002C3B34">
        <w:rPr>
          <w:i/>
          <w:iCs/>
          <w:sz w:val="20"/>
          <w:szCs w:val="22"/>
        </w:rPr>
        <w:t>be</w:t>
      </w:r>
      <w:r w:rsidRPr="002C3B34">
        <w:rPr>
          <w:i/>
          <w:iCs/>
          <w:spacing w:val="-2"/>
          <w:sz w:val="20"/>
          <w:szCs w:val="22"/>
        </w:rPr>
        <w:t xml:space="preserve"> </w:t>
      </w:r>
      <w:r w:rsidRPr="002C3B34">
        <w:rPr>
          <w:i/>
          <w:iCs/>
          <w:sz w:val="20"/>
          <w:szCs w:val="22"/>
        </w:rPr>
        <w:t>used</w:t>
      </w:r>
      <w:r w:rsidRPr="002C3B34">
        <w:rPr>
          <w:i/>
          <w:iCs/>
          <w:spacing w:val="-5"/>
          <w:sz w:val="20"/>
          <w:szCs w:val="22"/>
        </w:rPr>
        <w:t xml:space="preserve"> </w:t>
      </w:r>
      <w:r w:rsidRPr="002C3B34">
        <w:rPr>
          <w:i/>
          <w:iCs/>
          <w:sz w:val="20"/>
          <w:szCs w:val="22"/>
        </w:rPr>
        <w:t>in</w:t>
      </w:r>
      <w:r w:rsidRPr="002C3B34">
        <w:rPr>
          <w:i/>
          <w:iCs/>
          <w:spacing w:val="-3"/>
          <w:sz w:val="20"/>
          <w:szCs w:val="22"/>
        </w:rPr>
        <w:t xml:space="preserve"> </w:t>
      </w:r>
      <w:r w:rsidRPr="002C3B34">
        <w:rPr>
          <w:i/>
          <w:iCs/>
          <w:sz w:val="20"/>
          <w:szCs w:val="22"/>
        </w:rPr>
        <w:t>any later consideration of the Court’s reasons.</w:t>
      </w:r>
    </w:p>
    <w:p w14:paraId="49B156E6" w14:textId="77777777" w:rsidR="0045059D" w:rsidRDefault="0045059D" w:rsidP="0045059D">
      <w:pPr>
        <w:pStyle w:val="BodyText"/>
        <w:tabs>
          <w:tab w:val="left" w:pos="4307"/>
        </w:tabs>
        <w:kinsoku w:val="0"/>
        <w:overflowPunct w:val="0"/>
        <w:spacing w:before="146"/>
        <w:ind w:left="1879" w:right="2240"/>
        <w:jc w:val="center"/>
        <w:rPr>
          <w:rFonts w:ascii="Arial" w:hAnsi="Arial" w:cs="Arial"/>
          <w:b/>
          <w:bCs/>
          <w:sz w:val="16"/>
          <w:szCs w:val="16"/>
        </w:rPr>
      </w:pPr>
      <w:r>
        <w:rPr>
          <w:rFonts w:ascii="Arial" w:hAnsi="Arial" w:cs="Arial"/>
          <w:b/>
          <w:bCs/>
          <w:sz w:val="16"/>
          <w:szCs w:val="16"/>
        </w:rPr>
        <w:t>Please direct enquiries to Ben Wickham, Senior Executive Deputy</w:t>
      </w:r>
      <w:r>
        <w:rPr>
          <w:rFonts w:ascii="Arial" w:hAnsi="Arial" w:cs="Arial"/>
          <w:b/>
          <w:bCs/>
          <w:spacing w:val="-29"/>
          <w:sz w:val="16"/>
          <w:szCs w:val="16"/>
        </w:rPr>
        <w:t xml:space="preserve"> </w:t>
      </w:r>
      <w:r>
        <w:rPr>
          <w:rFonts w:ascii="Arial" w:hAnsi="Arial" w:cs="Arial"/>
          <w:b/>
          <w:bCs/>
          <w:sz w:val="16"/>
          <w:szCs w:val="16"/>
        </w:rPr>
        <w:t>Registrar Telephone: (02)</w:t>
      </w:r>
      <w:r>
        <w:rPr>
          <w:rFonts w:ascii="Arial" w:hAnsi="Arial" w:cs="Arial"/>
          <w:b/>
          <w:bCs/>
          <w:spacing w:val="-3"/>
          <w:sz w:val="16"/>
          <w:szCs w:val="16"/>
        </w:rPr>
        <w:t xml:space="preserve"> </w:t>
      </w:r>
      <w:r>
        <w:rPr>
          <w:rFonts w:ascii="Arial" w:hAnsi="Arial" w:cs="Arial"/>
          <w:b/>
          <w:bCs/>
          <w:sz w:val="16"/>
          <w:szCs w:val="16"/>
        </w:rPr>
        <w:t>6270</w:t>
      </w:r>
      <w:r>
        <w:rPr>
          <w:rFonts w:ascii="Arial" w:hAnsi="Arial" w:cs="Arial"/>
          <w:b/>
          <w:bCs/>
          <w:spacing w:val="-1"/>
          <w:sz w:val="16"/>
          <w:szCs w:val="16"/>
        </w:rPr>
        <w:t xml:space="preserve"> </w:t>
      </w:r>
      <w:r>
        <w:rPr>
          <w:rFonts w:ascii="Arial" w:hAnsi="Arial" w:cs="Arial"/>
          <w:b/>
          <w:bCs/>
          <w:sz w:val="16"/>
          <w:szCs w:val="16"/>
        </w:rPr>
        <w:t>6893</w:t>
      </w:r>
      <w:r>
        <w:rPr>
          <w:rFonts w:ascii="Arial" w:hAnsi="Arial" w:cs="Arial"/>
          <w:b/>
          <w:bCs/>
          <w:sz w:val="16"/>
          <w:szCs w:val="16"/>
        </w:rPr>
        <w:tab/>
        <w:t>Fax: (02) 6270</w:t>
      </w:r>
      <w:r>
        <w:rPr>
          <w:rFonts w:ascii="Arial" w:hAnsi="Arial" w:cs="Arial"/>
          <w:b/>
          <w:bCs/>
          <w:spacing w:val="1"/>
          <w:sz w:val="16"/>
          <w:szCs w:val="16"/>
        </w:rPr>
        <w:t xml:space="preserve"> </w:t>
      </w:r>
      <w:r>
        <w:rPr>
          <w:rFonts w:ascii="Arial" w:hAnsi="Arial" w:cs="Arial"/>
          <w:b/>
          <w:bCs/>
          <w:sz w:val="16"/>
          <w:szCs w:val="16"/>
        </w:rPr>
        <w:t>6868</w:t>
      </w:r>
    </w:p>
    <w:p w14:paraId="335F826F" w14:textId="77777777" w:rsidR="00755EE2" w:rsidRPr="00F43992" w:rsidRDefault="0045059D" w:rsidP="00F43992">
      <w:pPr>
        <w:pStyle w:val="BodyText"/>
        <w:tabs>
          <w:tab w:val="left" w:pos="2894"/>
        </w:tabs>
        <w:kinsoku w:val="0"/>
        <w:overflowPunct w:val="0"/>
        <w:spacing w:line="183" w:lineRule="exact"/>
        <w:ind w:right="360"/>
        <w:jc w:val="center"/>
        <w:rPr>
          <w:rFonts w:ascii="Arial" w:hAnsi="Arial" w:cs="Arial"/>
          <w:b/>
          <w:bCs/>
          <w:sz w:val="16"/>
          <w:szCs w:val="16"/>
        </w:rPr>
      </w:pPr>
      <w:r>
        <w:rPr>
          <w:rFonts w:ascii="Arial" w:hAnsi="Arial" w:cs="Arial"/>
          <w:b/>
          <w:bCs/>
          <w:sz w:val="16"/>
          <w:szCs w:val="16"/>
        </w:rPr>
        <w:t>Email:</w:t>
      </w:r>
      <w:r>
        <w:rPr>
          <w:rFonts w:ascii="Arial" w:hAnsi="Arial" w:cs="Arial"/>
          <w:b/>
          <w:bCs/>
          <w:spacing w:val="-3"/>
          <w:sz w:val="16"/>
          <w:szCs w:val="16"/>
        </w:rPr>
        <w:t xml:space="preserve"> </w:t>
      </w:r>
      <w:hyperlink r:id="rId13" w:history="1">
        <w:r>
          <w:rPr>
            <w:rFonts w:ascii="Arial" w:hAnsi="Arial" w:cs="Arial"/>
            <w:b/>
            <w:bCs/>
            <w:sz w:val="16"/>
            <w:szCs w:val="16"/>
          </w:rPr>
          <w:t>enquiries@hcourt.gov.au</w:t>
        </w:r>
      </w:hyperlink>
      <w:r>
        <w:rPr>
          <w:rFonts w:ascii="Arial" w:hAnsi="Arial" w:cs="Arial"/>
          <w:b/>
          <w:bCs/>
          <w:sz w:val="16"/>
          <w:szCs w:val="16"/>
        </w:rPr>
        <w:tab/>
        <w:t xml:space="preserve">Website: </w:t>
      </w:r>
      <w:hyperlink r:id="rId14" w:history="1">
        <w:r>
          <w:rPr>
            <w:rFonts w:ascii="Arial" w:hAnsi="Arial" w:cs="Arial"/>
            <w:b/>
            <w:bCs/>
            <w:sz w:val="16"/>
            <w:szCs w:val="16"/>
          </w:rPr>
          <w:t>www.hcourt.gov.au</w:t>
        </w:r>
      </w:hyperlink>
    </w:p>
    <w:sectPr w:rsidR="00755EE2" w:rsidRPr="00F43992" w:rsidSect="003C587F">
      <w:type w:val="continuous"/>
      <w:pgSz w:w="11910" w:h="16850"/>
      <w:pgMar w:top="1040" w:right="840" w:bottom="0" w:left="1200" w:header="720" w:footer="720" w:gutter="0"/>
      <w:cols w:space="720" w:equalWidth="0">
        <w:col w:w="9870"/>
      </w:cols>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FDB06" w14:textId="77777777" w:rsidR="00E77A0B" w:rsidRDefault="00E77A0B" w:rsidP="0045059D">
      <w:r>
        <w:separator/>
      </w:r>
    </w:p>
  </w:endnote>
  <w:endnote w:type="continuationSeparator" w:id="0">
    <w:p w14:paraId="438F6D02" w14:textId="77777777" w:rsidR="00E77A0B" w:rsidRDefault="00E77A0B" w:rsidP="0045059D">
      <w:r>
        <w:continuationSeparator/>
      </w:r>
    </w:p>
  </w:endnote>
  <w:endnote w:type="continuationNotice" w:id="1">
    <w:p w14:paraId="241615B0" w14:textId="77777777" w:rsidR="00E77A0B" w:rsidRDefault="00E77A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18AF0" w14:textId="77777777" w:rsidR="00E77A0B" w:rsidRDefault="00E77A0B" w:rsidP="0045059D">
      <w:r>
        <w:separator/>
      </w:r>
    </w:p>
  </w:footnote>
  <w:footnote w:type="continuationSeparator" w:id="0">
    <w:p w14:paraId="74E22851" w14:textId="77777777" w:rsidR="00E77A0B" w:rsidRDefault="00E77A0B" w:rsidP="0045059D">
      <w:r>
        <w:continuationSeparator/>
      </w:r>
    </w:p>
  </w:footnote>
  <w:footnote w:type="continuationNotice" w:id="1">
    <w:p w14:paraId="4119ADB0" w14:textId="77777777" w:rsidR="00E77A0B" w:rsidRDefault="00E77A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6C6B8" w14:textId="77241942" w:rsidR="003C587F" w:rsidRDefault="003C587F" w:rsidP="003C587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D3481" w14:textId="33D75522" w:rsidR="003C587F" w:rsidRDefault="003C587F" w:rsidP="003C587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463" w:hanging="361"/>
      </w:pPr>
      <w:rPr>
        <w:rFonts w:ascii="Symbol" w:hAnsi="Symbol"/>
        <w:b w:val="0"/>
        <w:w w:val="100"/>
        <w:sz w:val="22"/>
      </w:rPr>
    </w:lvl>
    <w:lvl w:ilvl="1">
      <w:numFmt w:val="bullet"/>
      <w:lvlText w:val="•"/>
      <w:lvlJc w:val="left"/>
      <w:pPr>
        <w:ind w:left="1400" w:hanging="361"/>
      </w:pPr>
    </w:lvl>
    <w:lvl w:ilvl="2">
      <w:numFmt w:val="bullet"/>
      <w:lvlText w:val="•"/>
      <w:lvlJc w:val="left"/>
      <w:pPr>
        <w:ind w:left="2341" w:hanging="361"/>
      </w:pPr>
    </w:lvl>
    <w:lvl w:ilvl="3">
      <w:numFmt w:val="bullet"/>
      <w:lvlText w:val="•"/>
      <w:lvlJc w:val="left"/>
      <w:pPr>
        <w:ind w:left="3281" w:hanging="361"/>
      </w:pPr>
    </w:lvl>
    <w:lvl w:ilvl="4">
      <w:numFmt w:val="bullet"/>
      <w:lvlText w:val="•"/>
      <w:lvlJc w:val="left"/>
      <w:pPr>
        <w:ind w:left="4222" w:hanging="361"/>
      </w:pPr>
    </w:lvl>
    <w:lvl w:ilvl="5">
      <w:numFmt w:val="bullet"/>
      <w:lvlText w:val="•"/>
      <w:lvlJc w:val="left"/>
      <w:pPr>
        <w:ind w:left="5163" w:hanging="361"/>
      </w:pPr>
    </w:lvl>
    <w:lvl w:ilvl="6">
      <w:numFmt w:val="bullet"/>
      <w:lvlText w:val="•"/>
      <w:lvlJc w:val="left"/>
      <w:pPr>
        <w:ind w:left="6103" w:hanging="361"/>
      </w:pPr>
    </w:lvl>
    <w:lvl w:ilvl="7">
      <w:numFmt w:val="bullet"/>
      <w:lvlText w:val="•"/>
      <w:lvlJc w:val="left"/>
      <w:pPr>
        <w:ind w:left="7044" w:hanging="361"/>
      </w:pPr>
    </w:lvl>
    <w:lvl w:ilvl="8">
      <w:numFmt w:val="bullet"/>
      <w:lvlText w:val="•"/>
      <w:lvlJc w:val="left"/>
      <w:pPr>
        <w:ind w:left="7985" w:hanging="36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59D"/>
    <w:rsid w:val="00010C51"/>
    <w:rsid w:val="00012CD8"/>
    <w:rsid w:val="00016139"/>
    <w:rsid w:val="00021B08"/>
    <w:rsid w:val="00023FDC"/>
    <w:rsid w:val="00031F9F"/>
    <w:rsid w:val="00033359"/>
    <w:rsid w:val="00052295"/>
    <w:rsid w:val="000562D7"/>
    <w:rsid w:val="000640C4"/>
    <w:rsid w:val="00066FEB"/>
    <w:rsid w:val="00080464"/>
    <w:rsid w:val="00080B7E"/>
    <w:rsid w:val="00082CE7"/>
    <w:rsid w:val="00082EE7"/>
    <w:rsid w:val="00093A8B"/>
    <w:rsid w:val="000A61C4"/>
    <w:rsid w:val="000B08EF"/>
    <w:rsid w:val="000C142B"/>
    <w:rsid w:val="000E409B"/>
    <w:rsid w:val="000E6591"/>
    <w:rsid w:val="00103B59"/>
    <w:rsid w:val="001063D5"/>
    <w:rsid w:val="00107D6A"/>
    <w:rsid w:val="00160C95"/>
    <w:rsid w:val="001672D8"/>
    <w:rsid w:val="00171329"/>
    <w:rsid w:val="00171CEF"/>
    <w:rsid w:val="001A1580"/>
    <w:rsid w:val="001B2230"/>
    <w:rsid w:val="001C5D0D"/>
    <w:rsid w:val="001E33FD"/>
    <w:rsid w:val="001F2C6C"/>
    <w:rsid w:val="00203305"/>
    <w:rsid w:val="0020565A"/>
    <w:rsid w:val="00211EEE"/>
    <w:rsid w:val="002273EE"/>
    <w:rsid w:val="00227796"/>
    <w:rsid w:val="00231155"/>
    <w:rsid w:val="00233FE3"/>
    <w:rsid w:val="00235F96"/>
    <w:rsid w:val="00240452"/>
    <w:rsid w:val="002472AE"/>
    <w:rsid w:val="002510B9"/>
    <w:rsid w:val="002549A2"/>
    <w:rsid w:val="00257036"/>
    <w:rsid w:val="0026583E"/>
    <w:rsid w:val="00277FED"/>
    <w:rsid w:val="0028698A"/>
    <w:rsid w:val="00296933"/>
    <w:rsid w:val="002A49C9"/>
    <w:rsid w:val="002B0E99"/>
    <w:rsid w:val="002B23D8"/>
    <w:rsid w:val="002C1850"/>
    <w:rsid w:val="002C1EE0"/>
    <w:rsid w:val="002C2D09"/>
    <w:rsid w:val="002C6E59"/>
    <w:rsid w:val="002C7193"/>
    <w:rsid w:val="002D2DDA"/>
    <w:rsid w:val="002F0960"/>
    <w:rsid w:val="002F1442"/>
    <w:rsid w:val="002F444A"/>
    <w:rsid w:val="002F796F"/>
    <w:rsid w:val="00302CFB"/>
    <w:rsid w:val="0032168B"/>
    <w:rsid w:val="0033272F"/>
    <w:rsid w:val="00340CCD"/>
    <w:rsid w:val="00341049"/>
    <w:rsid w:val="0036766E"/>
    <w:rsid w:val="003777A1"/>
    <w:rsid w:val="003A54D7"/>
    <w:rsid w:val="003C587F"/>
    <w:rsid w:val="00404549"/>
    <w:rsid w:val="00423CDD"/>
    <w:rsid w:val="00437055"/>
    <w:rsid w:val="0045059D"/>
    <w:rsid w:val="00453159"/>
    <w:rsid w:val="00456CA6"/>
    <w:rsid w:val="00463C48"/>
    <w:rsid w:val="00470A8F"/>
    <w:rsid w:val="00480949"/>
    <w:rsid w:val="0048259E"/>
    <w:rsid w:val="00485903"/>
    <w:rsid w:val="0049337F"/>
    <w:rsid w:val="004A06DE"/>
    <w:rsid w:val="004A227F"/>
    <w:rsid w:val="004A7D76"/>
    <w:rsid w:val="004C62D5"/>
    <w:rsid w:val="004F0C05"/>
    <w:rsid w:val="004F1F51"/>
    <w:rsid w:val="00502DA8"/>
    <w:rsid w:val="00526B43"/>
    <w:rsid w:val="0056008C"/>
    <w:rsid w:val="0056128A"/>
    <w:rsid w:val="0056200F"/>
    <w:rsid w:val="00572200"/>
    <w:rsid w:val="00572FED"/>
    <w:rsid w:val="00581ED2"/>
    <w:rsid w:val="0059452D"/>
    <w:rsid w:val="005B0A3B"/>
    <w:rsid w:val="005B315A"/>
    <w:rsid w:val="005C0EF4"/>
    <w:rsid w:val="005C4469"/>
    <w:rsid w:val="005C4702"/>
    <w:rsid w:val="005E2837"/>
    <w:rsid w:val="005F7E5C"/>
    <w:rsid w:val="00622576"/>
    <w:rsid w:val="00633670"/>
    <w:rsid w:val="006402BE"/>
    <w:rsid w:val="0065485E"/>
    <w:rsid w:val="00671F57"/>
    <w:rsid w:val="00675A52"/>
    <w:rsid w:val="006A3319"/>
    <w:rsid w:val="006C62B6"/>
    <w:rsid w:val="006C68D3"/>
    <w:rsid w:val="006D016A"/>
    <w:rsid w:val="007078E0"/>
    <w:rsid w:val="007103F1"/>
    <w:rsid w:val="00710DC2"/>
    <w:rsid w:val="007139B1"/>
    <w:rsid w:val="00731746"/>
    <w:rsid w:val="007466B2"/>
    <w:rsid w:val="00755EE2"/>
    <w:rsid w:val="0075649D"/>
    <w:rsid w:val="0075655A"/>
    <w:rsid w:val="00767EA0"/>
    <w:rsid w:val="0077585F"/>
    <w:rsid w:val="00781025"/>
    <w:rsid w:val="00783B01"/>
    <w:rsid w:val="0079212D"/>
    <w:rsid w:val="007B003A"/>
    <w:rsid w:val="007C10AC"/>
    <w:rsid w:val="007E76F5"/>
    <w:rsid w:val="007F5839"/>
    <w:rsid w:val="007F620B"/>
    <w:rsid w:val="00805595"/>
    <w:rsid w:val="00816AB2"/>
    <w:rsid w:val="00826C6C"/>
    <w:rsid w:val="008274A1"/>
    <w:rsid w:val="008301F3"/>
    <w:rsid w:val="008346F9"/>
    <w:rsid w:val="00836AAD"/>
    <w:rsid w:val="00841FEC"/>
    <w:rsid w:val="0084372D"/>
    <w:rsid w:val="0085117A"/>
    <w:rsid w:val="008545D1"/>
    <w:rsid w:val="008570E9"/>
    <w:rsid w:val="0085796F"/>
    <w:rsid w:val="00861D56"/>
    <w:rsid w:val="008807D2"/>
    <w:rsid w:val="008809B7"/>
    <w:rsid w:val="00892EAA"/>
    <w:rsid w:val="008A58B8"/>
    <w:rsid w:val="008B4376"/>
    <w:rsid w:val="008F4B38"/>
    <w:rsid w:val="009110C7"/>
    <w:rsid w:val="009161CF"/>
    <w:rsid w:val="00916374"/>
    <w:rsid w:val="00916D47"/>
    <w:rsid w:val="00923BBE"/>
    <w:rsid w:val="009256B7"/>
    <w:rsid w:val="00942E76"/>
    <w:rsid w:val="0094698B"/>
    <w:rsid w:val="009552AF"/>
    <w:rsid w:val="00961DC8"/>
    <w:rsid w:val="009661BA"/>
    <w:rsid w:val="009759E3"/>
    <w:rsid w:val="00982163"/>
    <w:rsid w:val="00990255"/>
    <w:rsid w:val="009906FE"/>
    <w:rsid w:val="009A41F9"/>
    <w:rsid w:val="009B3F9A"/>
    <w:rsid w:val="009C532B"/>
    <w:rsid w:val="009E2492"/>
    <w:rsid w:val="009F51D2"/>
    <w:rsid w:val="00A0366C"/>
    <w:rsid w:val="00A074A3"/>
    <w:rsid w:val="00A32397"/>
    <w:rsid w:val="00A42506"/>
    <w:rsid w:val="00A4698D"/>
    <w:rsid w:val="00A538B1"/>
    <w:rsid w:val="00A561C8"/>
    <w:rsid w:val="00A67935"/>
    <w:rsid w:val="00A816ED"/>
    <w:rsid w:val="00A81A4E"/>
    <w:rsid w:val="00A823DB"/>
    <w:rsid w:val="00A94D63"/>
    <w:rsid w:val="00AB1099"/>
    <w:rsid w:val="00AC031C"/>
    <w:rsid w:val="00AC41D9"/>
    <w:rsid w:val="00AC4C8D"/>
    <w:rsid w:val="00AE6718"/>
    <w:rsid w:val="00AF552B"/>
    <w:rsid w:val="00B00023"/>
    <w:rsid w:val="00B12083"/>
    <w:rsid w:val="00B15C9C"/>
    <w:rsid w:val="00B163B1"/>
    <w:rsid w:val="00B16BA7"/>
    <w:rsid w:val="00B20D1D"/>
    <w:rsid w:val="00B2124B"/>
    <w:rsid w:val="00B2310C"/>
    <w:rsid w:val="00B24447"/>
    <w:rsid w:val="00B2465E"/>
    <w:rsid w:val="00B43298"/>
    <w:rsid w:val="00B442BA"/>
    <w:rsid w:val="00B443CA"/>
    <w:rsid w:val="00B50BFE"/>
    <w:rsid w:val="00B55055"/>
    <w:rsid w:val="00B55E17"/>
    <w:rsid w:val="00B56268"/>
    <w:rsid w:val="00B56614"/>
    <w:rsid w:val="00B60732"/>
    <w:rsid w:val="00B610D9"/>
    <w:rsid w:val="00B64674"/>
    <w:rsid w:val="00B71180"/>
    <w:rsid w:val="00B91557"/>
    <w:rsid w:val="00BA3EBC"/>
    <w:rsid w:val="00BA6694"/>
    <w:rsid w:val="00BB6BE5"/>
    <w:rsid w:val="00BB7205"/>
    <w:rsid w:val="00BC5492"/>
    <w:rsid w:val="00BD2E74"/>
    <w:rsid w:val="00BD7BC5"/>
    <w:rsid w:val="00BE0596"/>
    <w:rsid w:val="00BE4917"/>
    <w:rsid w:val="00BF1066"/>
    <w:rsid w:val="00BF2598"/>
    <w:rsid w:val="00BF3F28"/>
    <w:rsid w:val="00C039D3"/>
    <w:rsid w:val="00C15BE0"/>
    <w:rsid w:val="00C23C4B"/>
    <w:rsid w:val="00C24E36"/>
    <w:rsid w:val="00C26325"/>
    <w:rsid w:val="00C32DE5"/>
    <w:rsid w:val="00C369E5"/>
    <w:rsid w:val="00C37EF6"/>
    <w:rsid w:val="00C41A76"/>
    <w:rsid w:val="00C45422"/>
    <w:rsid w:val="00C539FC"/>
    <w:rsid w:val="00C56FDA"/>
    <w:rsid w:val="00C81E90"/>
    <w:rsid w:val="00C83575"/>
    <w:rsid w:val="00C90CC2"/>
    <w:rsid w:val="00C939A3"/>
    <w:rsid w:val="00C93C92"/>
    <w:rsid w:val="00CA1D8E"/>
    <w:rsid w:val="00CC0969"/>
    <w:rsid w:val="00CC283D"/>
    <w:rsid w:val="00CD5843"/>
    <w:rsid w:val="00CE4425"/>
    <w:rsid w:val="00CF6E70"/>
    <w:rsid w:val="00D00345"/>
    <w:rsid w:val="00D06052"/>
    <w:rsid w:val="00D143A9"/>
    <w:rsid w:val="00D14484"/>
    <w:rsid w:val="00D1759B"/>
    <w:rsid w:val="00D25F92"/>
    <w:rsid w:val="00D316B4"/>
    <w:rsid w:val="00D4758C"/>
    <w:rsid w:val="00D53F92"/>
    <w:rsid w:val="00D66860"/>
    <w:rsid w:val="00D7117A"/>
    <w:rsid w:val="00D75251"/>
    <w:rsid w:val="00D86A0F"/>
    <w:rsid w:val="00D93905"/>
    <w:rsid w:val="00DA23A2"/>
    <w:rsid w:val="00DB112A"/>
    <w:rsid w:val="00DB59F1"/>
    <w:rsid w:val="00DC3BD6"/>
    <w:rsid w:val="00DC5E50"/>
    <w:rsid w:val="00DF2310"/>
    <w:rsid w:val="00DF3B38"/>
    <w:rsid w:val="00E0585A"/>
    <w:rsid w:val="00E1768A"/>
    <w:rsid w:val="00E5408F"/>
    <w:rsid w:val="00E56F92"/>
    <w:rsid w:val="00E77A0B"/>
    <w:rsid w:val="00E83D76"/>
    <w:rsid w:val="00E85523"/>
    <w:rsid w:val="00E8784C"/>
    <w:rsid w:val="00E95F8A"/>
    <w:rsid w:val="00EA6B43"/>
    <w:rsid w:val="00EB2683"/>
    <w:rsid w:val="00EB5FC3"/>
    <w:rsid w:val="00EC0014"/>
    <w:rsid w:val="00ED1A3D"/>
    <w:rsid w:val="00ED212B"/>
    <w:rsid w:val="00EE08D3"/>
    <w:rsid w:val="00EE1E02"/>
    <w:rsid w:val="00EE5773"/>
    <w:rsid w:val="00EE6E3E"/>
    <w:rsid w:val="00EF60B1"/>
    <w:rsid w:val="00EF6505"/>
    <w:rsid w:val="00F0102D"/>
    <w:rsid w:val="00F0716D"/>
    <w:rsid w:val="00F07DDE"/>
    <w:rsid w:val="00F43992"/>
    <w:rsid w:val="00F51139"/>
    <w:rsid w:val="00F51890"/>
    <w:rsid w:val="00F53A81"/>
    <w:rsid w:val="00F608DB"/>
    <w:rsid w:val="00F61F1F"/>
    <w:rsid w:val="00F6780C"/>
    <w:rsid w:val="00F73707"/>
    <w:rsid w:val="00F76135"/>
    <w:rsid w:val="00F8048D"/>
    <w:rsid w:val="00F91BA8"/>
    <w:rsid w:val="00FA4D8A"/>
    <w:rsid w:val="00FA54CC"/>
    <w:rsid w:val="00FB153D"/>
    <w:rsid w:val="00FB5183"/>
    <w:rsid w:val="00FC47DF"/>
    <w:rsid w:val="00FD1573"/>
    <w:rsid w:val="00FD7A4B"/>
    <w:rsid w:val="00FE40A9"/>
    <w:rsid w:val="00FE5A9E"/>
    <w:rsid w:val="00FF6B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95B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5059D"/>
    <w:pPr>
      <w:widowControl w:val="0"/>
      <w:autoSpaceDE w:val="0"/>
      <w:autoSpaceDN w:val="0"/>
      <w:adjustRightInd w:val="0"/>
      <w:spacing w:after="0" w:line="240" w:lineRule="auto"/>
    </w:pPr>
    <w:rPr>
      <w:rFonts w:ascii="Times New Roman" w:eastAsiaTheme="minorEastAsia" w:hAnsi="Times New Roman"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5059D"/>
    <w:rPr>
      <w:sz w:val="24"/>
      <w:szCs w:val="24"/>
    </w:rPr>
  </w:style>
  <w:style w:type="character" w:customStyle="1" w:styleId="BodyTextChar">
    <w:name w:val="Body Text Char"/>
    <w:basedOn w:val="DefaultParagraphFont"/>
    <w:link w:val="BodyText"/>
    <w:uiPriority w:val="1"/>
    <w:rsid w:val="0045059D"/>
    <w:rPr>
      <w:rFonts w:ascii="Times New Roman" w:eastAsiaTheme="minorEastAsia" w:hAnsi="Times New Roman" w:cs="Times New Roman"/>
      <w:sz w:val="24"/>
      <w:szCs w:val="24"/>
      <w:lang w:eastAsia="en-AU"/>
    </w:rPr>
  </w:style>
  <w:style w:type="paragraph" w:styleId="ListParagraph">
    <w:name w:val="List Paragraph"/>
    <w:basedOn w:val="Normal"/>
    <w:uiPriority w:val="1"/>
    <w:qFormat/>
    <w:rsid w:val="0045059D"/>
    <w:pPr>
      <w:spacing w:before="121"/>
      <w:ind w:left="463" w:right="462" w:hanging="360"/>
    </w:pPr>
    <w:rPr>
      <w:sz w:val="24"/>
      <w:szCs w:val="24"/>
    </w:rPr>
  </w:style>
  <w:style w:type="paragraph" w:styleId="Header">
    <w:name w:val="header"/>
    <w:basedOn w:val="Normal"/>
    <w:link w:val="HeaderChar"/>
    <w:uiPriority w:val="99"/>
    <w:unhideWhenUsed/>
    <w:rsid w:val="0045059D"/>
    <w:pPr>
      <w:tabs>
        <w:tab w:val="center" w:pos="4513"/>
        <w:tab w:val="right" w:pos="9026"/>
      </w:tabs>
    </w:pPr>
  </w:style>
  <w:style w:type="character" w:customStyle="1" w:styleId="HeaderChar">
    <w:name w:val="Header Char"/>
    <w:basedOn w:val="DefaultParagraphFont"/>
    <w:link w:val="Header"/>
    <w:uiPriority w:val="99"/>
    <w:rsid w:val="0045059D"/>
    <w:rPr>
      <w:rFonts w:ascii="Times New Roman" w:eastAsiaTheme="minorEastAsia" w:hAnsi="Times New Roman" w:cs="Times New Roman"/>
      <w:lang w:eastAsia="en-AU"/>
    </w:rPr>
  </w:style>
  <w:style w:type="paragraph" w:styleId="BalloonText">
    <w:name w:val="Balloon Text"/>
    <w:basedOn w:val="Normal"/>
    <w:link w:val="BalloonTextChar"/>
    <w:uiPriority w:val="99"/>
    <w:semiHidden/>
    <w:unhideWhenUsed/>
    <w:rsid w:val="004505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59D"/>
    <w:rPr>
      <w:rFonts w:ascii="Segoe UI" w:eastAsiaTheme="minorEastAsia" w:hAnsi="Segoe UI" w:cs="Segoe UI"/>
      <w:sz w:val="18"/>
      <w:szCs w:val="18"/>
      <w:lang w:eastAsia="en-AU"/>
    </w:rPr>
  </w:style>
  <w:style w:type="paragraph" w:styleId="Footer">
    <w:name w:val="footer"/>
    <w:basedOn w:val="Normal"/>
    <w:link w:val="FooterChar"/>
    <w:uiPriority w:val="99"/>
    <w:unhideWhenUsed/>
    <w:rsid w:val="0045059D"/>
    <w:pPr>
      <w:tabs>
        <w:tab w:val="center" w:pos="4513"/>
        <w:tab w:val="right" w:pos="9026"/>
      </w:tabs>
    </w:pPr>
  </w:style>
  <w:style w:type="character" w:customStyle="1" w:styleId="FooterChar">
    <w:name w:val="Footer Char"/>
    <w:basedOn w:val="DefaultParagraphFont"/>
    <w:link w:val="Footer"/>
    <w:uiPriority w:val="99"/>
    <w:rsid w:val="0045059D"/>
    <w:rPr>
      <w:rFonts w:ascii="Times New Roman" w:eastAsiaTheme="minorEastAsia"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hcourt.gov.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cour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32D2EC4F8DE44A8C0C478B82839881" ma:contentTypeVersion="10" ma:contentTypeDescription="Create a new document." ma:contentTypeScope="" ma:versionID="8fe3c49d4c3a51b49b5820eb6965a167">
  <xsd:schema xmlns:xsd="http://www.w3.org/2001/XMLSchema" xmlns:xs="http://www.w3.org/2001/XMLSchema" xmlns:p="http://schemas.microsoft.com/office/2006/metadata/properties" xmlns:ns2="3cc3f26d-d9cc-46f3-89c7-f1482de8c8f1" targetNamespace="http://schemas.microsoft.com/office/2006/metadata/properties" ma:root="true" ma:fieldsID="17bf54a0125c5ec0ccecfca21bb236bd" ns2:_="">
    <xsd:import namespace="3cc3f26d-d9cc-46f3-89c7-f1482de8c8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c3f26d-d9cc-46f3-89c7-f1482de8c8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38F5CE-6FDF-44E4-9AF9-69CCBD49BDB6}">
  <ds:schemaRefs>
    <ds:schemaRef ds:uri="http://schemas.microsoft.com/sharepoint/v3/contenttype/forms"/>
  </ds:schemaRefs>
</ds:datastoreItem>
</file>

<file path=customXml/itemProps2.xml><?xml version="1.0" encoding="utf-8"?>
<ds:datastoreItem xmlns:ds="http://schemas.openxmlformats.org/officeDocument/2006/customXml" ds:itemID="{EC4FF491-F7FA-4317-AFC3-E883E36D5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c3f26d-d9cc-46f3-89c7-f1482de8c8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559788-D72C-4C42-9FAB-A76E179D09F4}">
  <ds:schemaRefs>
    <ds:schemaRef ds:uri="http://schemas.microsoft.com/office/2006/documentManagement/types"/>
    <ds:schemaRef ds:uri="3cc3f26d-d9cc-46f3-89c7-f1482de8c8f1"/>
    <ds:schemaRef ds:uri="http://purl.org/dc/elements/1.1/"/>
    <ds:schemaRef ds:uri="http://www.w3.org/XML/1998/namespace"/>
    <ds:schemaRef ds:uri="http://schemas.microsoft.com/office/infopath/2007/PartnerControls"/>
    <ds:schemaRef ds:uri="http://purl.org/dc/terms/"/>
    <ds:schemaRef ds:uri="http://purl.org/dc/dcmityp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600</Words>
  <Characters>3025</Characters>
  <Application>Microsoft Office Word</Application>
  <DocSecurity>0</DocSecurity>
  <Lines>57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3621</CharactersWithSpaces>
  <SharedDoc>false</SharedDoc>
  <HLinks>
    <vt:vector size="12" baseType="variant">
      <vt:variant>
        <vt:i4>4456514</vt:i4>
      </vt:variant>
      <vt:variant>
        <vt:i4>3</vt:i4>
      </vt:variant>
      <vt:variant>
        <vt:i4>0</vt:i4>
      </vt:variant>
      <vt:variant>
        <vt:i4>5</vt:i4>
      </vt:variant>
      <vt:variant>
        <vt:lpwstr>http://www.hcourt.gov.au/</vt:lpwstr>
      </vt:variant>
      <vt:variant>
        <vt:lpwstr/>
      </vt:variant>
      <vt:variant>
        <vt:i4>6946836</vt:i4>
      </vt:variant>
      <vt:variant>
        <vt:i4>0</vt:i4>
      </vt:variant>
      <vt:variant>
        <vt:i4>0</vt:i4>
      </vt:variant>
      <vt:variant>
        <vt:i4>5</vt:i4>
      </vt:variant>
      <vt:variant>
        <vt:lpwstr>mailto:enquiries@hcourt.gov.au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of Australia</dc:title>
  <dc:subject/>
  <dc:creator/>
  <cp:keywords/>
  <dc:description/>
  <cp:lastModifiedBy/>
  <cp:revision>1</cp:revision>
  <cp:lastPrinted>2021-03-05T07:19:00Z</cp:lastPrinted>
  <dcterms:created xsi:type="dcterms:W3CDTF">2021-03-09T23:05:00Z</dcterms:created>
  <dcterms:modified xsi:type="dcterms:W3CDTF">2021-03-09T23:05:00Z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0x0101001F32D2EC4F8DE44A8C0C478B82839881</vt:lpwstr>
  </property>
</Properties>
</file>