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010D" w14:textId="77777777" w:rsidR="00310A6C" w:rsidRDefault="00310A6C">
      <w:pPr>
        <w:ind w:right="-285"/>
      </w:pPr>
    </w:p>
    <w:p w14:paraId="0C230F91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3818D7DC" w14:textId="75A67DAC" w:rsidR="00443C39" w:rsidRDefault="000A66F8" w:rsidP="00443C39">
      <w:pPr>
        <w:framePr w:w="2019" w:h="430" w:hSpace="181" w:wrap="notBeside" w:vAnchor="text" w:hAnchor="page" w:x="9081" w:y="-550"/>
        <w:shd w:val="solid" w:color="FFFFFF" w:fill="FFFFFF"/>
      </w:pPr>
      <w:r w:rsidRPr="00B91FAB">
        <w:t>12 October 2022</w:t>
      </w:r>
    </w:p>
    <w:p w14:paraId="2C1DF6E1" w14:textId="77777777" w:rsidR="000F1746" w:rsidRDefault="000F1746">
      <w:pPr>
        <w:ind w:right="-285"/>
      </w:pPr>
    </w:p>
    <w:p w14:paraId="1494D50E" w14:textId="7A07AE88" w:rsidR="005F16F6" w:rsidRDefault="003A628F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BHP GROUP LIMITED </w:t>
      </w:r>
      <w:r w:rsidR="00F54BC7">
        <w:rPr>
          <w:u w:val="single"/>
        </w:rPr>
        <w:t>v</w:t>
      </w:r>
      <w:r>
        <w:rPr>
          <w:u w:val="single"/>
        </w:rPr>
        <w:t xml:space="preserve"> IMPIOMBATO &amp; ANOR </w:t>
      </w:r>
    </w:p>
    <w:p w14:paraId="2CBE4038" w14:textId="7E7E7FC8" w:rsidR="00310A6C" w:rsidRPr="005F16F6" w:rsidRDefault="00E95A71" w:rsidP="00E95A71">
      <w:pPr>
        <w:ind w:right="-285"/>
        <w:jc w:val="center"/>
      </w:pPr>
      <w:r w:rsidRPr="005F16F6">
        <w:t>[20</w:t>
      </w:r>
      <w:r w:rsidR="00B533E8" w:rsidRPr="00755703">
        <w:t>22</w:t>
      </w:r>
      <w:r w:rsidRPr="00755703">
        <w:t xml:space="preserve">] </w:t>
      </w:r>
      <w:smartTag w:uri="urn:schemas-microsoft-com:office:smarttags" w:element="stockticker">
        <w:r w:rsidRPr="00755703">
          <w:t>HCA</w:t>
        </w:r>
      </w:smartTag>
      <w:r w:rsidRPr="00755703">
        <w:t xml:space="preserve"> </w:t>
      </w:r>
      <w:r w:rsidR="00755703" w:rsidRPr="003F7308">
        <w:t>33</w:t>
      </w:r>
    </w:p>
    <w:p w14:paraId="19B27EC9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46EF6F8B" w14:textId="17F864EC" w:rsidR="00032795" w:rsidRDefault="000A66F8" w:rsidP="00F621F7">
      <w:pPr>
        <w:ind w:right="-285"/>
      </w:pPr>
      <w:r>
        <w:t xml:space="preserve">Today, the High Court dismissed an appeal from a judgment of the </w:t>
      </w:r>
      <w:r w:rsidR="004B7DC0">
        <w:t xml:space="preserve">Full Court of the </w:t>
      </w:r>
      <w:r>
        <w:t xml:space="preserve">Federal Court of Australia. </w:t>
      </w:r>
      <w:r w:rsidR="001B6BA9">
        <w:t xml:space="preserve">The sole </w:t>
      </w:r>
      <w:r w:rsidR="00931579">
        <w:t>issue in the appeal was a question of statutory construction:</w:t>
      </w:r>
      <w:r w:rsidR="004D7FB7">
        <w:t xml:space="preserve"> </w:t>
      </w:r>
      <w:r w:rsidR="005E04DD">
        <w:t>does</w:t>
      </w:r>
      <w:r w:rsidR="004D7FB7">
        <w:t xml:space="preserve"> Pt IVA of the </w:t>
      </w:r>
      <w:r w:rsidR="004D7FB7">
        <w:rPr>
          <w:i/>
          <w:iCs/>
        </w:rPr>
        <w:t xml:space="preserve">Federal Court of Australia Act 1976 </w:t>
      </w:r>
      <w:r w:rsidR="004D7FB7">
        <w:t>(Cth)</w:t>
      </w:r>
      <w:r w:rsidR="005E04DD">
        <w:t xml:space="preserve"> permit representative proceedings to be brought on behalf of group members who are not resident in Australia</w:t>
      </w:r>
      <w:r w:rsidR="00C82475">
        <w:t xml:space="preserve">? </w:t>
      </w:r>
    </w:p>
    <w:p w14:paraId="40401937" w14:textId="77777777" w:rsidR="00032795" w:rsidRDefault="00032795" w:rsidP="00F621F7">
      <w:pPr>
        <w:ind w:right="-285"/>
      </w:pPr>
    </w:p>
    <w:p w14:paraId="10024320" w14:textId="3F3F02EC" w:rsidR="003F1B0F" w:rsidRPr="00E4509E" w:rsidRDefault="001611E1" w:rsidP="00F621F7">
      <w:pPr>
        <w:ind w:right="-285"/>
      </w:pPr>
      <w:r>
        <w:t>The appellant, BHP Group Limited</w:t>
      </w:r>
      <w:r w:rsidR="006071FC">
        <w:t xml:space="preserve"> ("BHP")</w:t>
      </w:r>
      <w:r>
        <w:t xml:space="preserve">, is the respondent </w:t>
      </w:r>
      <w:r w:rsidR="00F621F7">
        <w:t xml:space="preserve">in a </w:t>
      </w:r>
      <w:r w:rsidR="00454E4D">
        <w:t>representative proceeding (also</w:t>
      </w:r>
      <w:r w:rsidR="00263E61">
        <w:t> </w:t>
      </w:r>
      <w:r w:rsidR="00454E4D">
        <w:t xml:space="preserve">known as a class action) </w:t>
      </w:r>
      <w:r w:rsidR="00F621F7">
        <w:t xml:space="preserve">commenced </w:t>
      </w:r>
      <w:r w:rsidR="00032795">
        <w:t xml:space="preserve">in the Federal Court of Australia </w:t>
      </w:r>
      <w:r w:rsidR="00F621F7">
        <w:t>under Pt</w:t>
      </w:r>
      <w:r w:rsidR="00792245">
        <w:t> </w:t>
      </w:r>
      <w:r w:rsidR="00F621F7">
        <w:t>IVA</w:t>
      </w:r>
      <w:r w:rsidR="002C5496">
        <w:t>, relating</w:t>
      </w:r>
      <w:r w:rsidR="00263E61">
        <w:t> </w:t>
      </w:r>
      <w:r w:rsidR="002C5496">
        <w:t xml:space="preserve">to the failure of the </w:t>
      </w:r>
      <w:r w:rsidR="002C5496" w:rsidRPr="003F1B0F">
        <w:t>Fundão</w:t>
      </w:r>
      <w:r w:rsidR="002C5496">
        <w:t xml:space="preserve"> Dam in Brazil in 2015. The group members in the </w:t>
      </w:r>
      <w:r w:rsidR="001A6F15">
        <w:t>representative proceeding</w:t>
      </w:r>
      <w:r w:rsidR="002C5496">
        <w:t xml:space="preserve"> are persons who, during a specified period before the </w:t>
      </w:r>
      <w:r w:rsidR="007523BF">
        <w:t>D</w:t>
      </w:r>
      <w:r w:rsidR="002C5496">
        <w:t>am failure, contracted to acquire</w:t>
      </w:r>
      <w:r w:rsidR="006071FC">
        <w:t xml:space="preserve"> an interest in fully paid</w:t>
      </w:r>
      <w:r w:rsidR="00DC349E">
        <w:t>-</w:t>
      </w:r>
      <w:r w:rsidR="006071FC">
        <w:t>up ordinary shares in BHP on the Australian Stock Exchange,</w:t>
      </w:r>
      <w:r w:rsidR="006A0DF4">
        <w:t xml:space="preserve"> BHP Billiton Plc ("BHP</w:t>
      </w:r>
      <w:r w:rsidR="00263E61">
        <w:t> </w:t>
      </w:r>
      <w:r w:rsidR="006A0DF4">
        <w:t xml:space="preserve">Plc") on the </w:t>
      </w:r>
      <w:r w:rsidR="0043599D">
        <w:t xml:space="preserve">London Stock Exchange, </w:t>
      </w:r>
      <w:r w:rsidR="009D2120">
        <w:t>and/</w:t>
      </w:r>
      <w:r w:rsidR="0043599D">
        <w:t>or BHP Plc on the Johannesburg Stock Exchange</w:t>
      </w:r>
      <w:r w:rsidR="00525004">
        <w:t xml:space="preserve">, and who </w:t>
      </w:r>
      <w:r w:rsidR="00CA44B9">
        <w:t>are alleged</w:t>
      </w:r>
      <w:r w:rsidR="001E3D80">
        <w:t xml:space="preserve"> to have </w:t>
      </w:r>
      <w:r w:rsidR="00525004">
        <w:t xml:space="preserve">suffered loss </w:t>
      </w:r>
      <w:r w:rsidR="00A01CDB">
        <w:t>by reason</w:t>
      </w:r>
      <w:r w:rsidR="00DC349E">
        <w:t xml:space="preserve"> of</w:t>
      </w:r>
      <w:r w:rsidR="00AE494D">
        <w:t xml:space="preserve"> BHP</w:t>
      </w:r>
      <w:r w:rsidR="00A01CDB">
        <w:t>'s conduct</w:t>
      </w:r>
      <w:r w:rsidR="00AE494D">
        <w:t xml:space="preserve"> in contravention of the continuous disclosure obligations under the ASX Listing Rules and the </w:t>
      </w:r>
      <w:r w:rsidR="00AE494D">
        <w:rPr>
          <w:i/>
          <w:iCs/>
        </w:rPr>
        <w:t>Corporations Act 2001</w:t>
      </w:r>
      <w:r w:rsidR="007047E3">
        <w:rPr>
          <w:i/>
          <w:iCs/>
        </w:rPr>
        <w:t xml:space="preserve"> </w:t>
      </w:r>
      <w:r w:rsidR="007047E3">
        <w:t>(</w:t>
      </w:r>
      <w:r w:rsidR="007047E3" w:rsidRPr="007D20CA">
        <w:t>Cth)</w:t>
      </w:r>
      <w:r w:rsidR="00370404" w:rsidRPr="007D20CA">
        <w:t xml:space="preserve">. </w:t>
      </w:r>
      <w:r w:rsidR="00214287" w:rsidRPr="007D20CA">
        <w:t>The</w:t>
      </w:r>
      <w:r w:rsidR="00214287">
        <w:t xml:space="preserve"> group members are also alleged to have suffered loss as a result of BHP engaging</w:t>
      </w:r>
      <w:r w:rsidR="00E4509E">
        <w:t xml:space="preserve"> in misleading or deceptive conduct contrary to the </w:t>
      </w:r>
      <w:r w:rsidR="00E4509E">
        <w:rPr>
          <w:i/>
          <w:iCs/>
        </w:rPr>
        <w:t>Australian Securities and Investments Commission Act 2001</w:t>
      </w:r>
      <w:r w:rsidR="007047E3">
        <w:rPr>
          <w:i/>
          <w:iCs/>
        </w:rPr>
        <w:t xml:space="preserve"> </w:t>
      </w:r>
      <w:r w:rsidR="007047E3">
        <w:t>(Cth)</w:t>
      </w:r>
      <w:r w:rsidR="00E4509E">
        <w:rPr>
          <w:i/>
          <w:iCs/>
        </w:rPr>
        <w:t xml:space="preserve"> </w:t>
      </w:r>
      <w:r w:rsidR="00E4509E">
        <w:t xml:space="preserve">and the </w:t>
      </w:r>
      <w:r w:rsidR="00E4509E" w:rsidRPr="007D20CA">
        <w:rPr>
          <w:i/>
          <w:iCs/>
        </w:rPr>
        <w:t xml:space="preserve">Corporations Act. </w:t>
      </w:r>
      <w:r w:rsidR="00E4509E" w:rsidRPr="007D20CA">
        <w:t>This</w:t>
      </w:r>
      <w:r w:rsidR="00E4509E">
        <w:t xml:space="preserve"> appeal was heard at an interlocutory stage</w:t>
      </w:r>
      <w:r w:rsidR="0012510F">
        <w:t xml:space="preserve"> of </w:t>
      </w:r>
      <w:r w:rsidR="00214287">
        <w:t>the</w:t>
      </w:r>
      <w:r w:rsidR="0012510F">
        <w:t xml:space="preserve"> </w:t>
      </w:r>
      <w:r w:rsidR="00A01CDB">
        <w:t xml:space="preserve">representative </w:t>
      </w:r>
      <w:r w:rsidR="0012510F">
        <w:t>proceeding</w:t>
      </w:r>
      <w:r w:rsidR="009C6685">
        <w:t>.</w:t>
      </w:r>
      <w:r w:rsidR="00E4509E">
        <w:t xml:space="preserve"> </w:t>
      </w:r>
    </w:p>
    <w:p w14:paraId="42332440" w14:textId="77777777" w:rsidR="003F1B0F" w:rsidRDefault="003F1B0F" w:rsidP="00F621F7">
      <w:pPr>
        <w:ind w:right="-285"/>
      </w:pPr>
    </w:p>
    <w:p w14:paraId="6FB6A1B5" w14:textId="7963EA38" w:rsidR="000474B9" w:rsidRDefault="00BF0DBE" w:rsidP="00F621F7">
      <w:pPr>
        <w:ind w:right="-285"/>
      </w:pPr>
      <w:r>
        <w:t>P</w:t>
      </w:r>
      <w:r w:rsidR="00507370">
        <w:t>ar</w:t>
      </w:r>
      <w:r>
        <w:t xml:space="preserve">t IVA does not </w:t>
      </w:r>
      <w:r w:rsidR="00DB5BE8">
        <w:t>contain</w:t>
      </w:r>
      <w:r>
        <w:t xml:space="preserve"> any </w:t>
      </w:r>
      <w:r w:rsidR="00DB5BE8">
        <w:t xml:space="preserve">express geographic or territorial restriction on the identity of </w:t>
      </w:r>
      <w:r w:rsidR="00A01CDB">
        <w:t>"</w:t>
      </w:r>
      <w:r w:rsidR="00DB5BE8">
        <w:t>persons</w:t>
      </w:r>
      <w:r w:rsidR="00A01CDB">
        <w:t>"</w:t>
      </w:r>
      <w:r w:rsidR="00DB5BE8">
        <w:t xml:space="preserve"> who can be group members</w:t>
      </w:r>
      <w:r w:rsidR="009A44F7">
        <w:t xml:space="preserve"> in a representative proceeding</w:t>
      </w:r>
      <w:r w:rsidR="00DB5BE8">
        <w:t xml:space="preserve">. </w:t>
      </w:r>
      <w:r w:rsidR="00AE5B27">
        <w:t>I</w:t>
      </w:r>
      <w:r w:rsidR="00214287">
        <w:t>n this appeal</w:t>
      </w:r>
      <w:r w:rsidR="00C93229">
        <w:t xml:space="preserve">, </w:t>
      </w:r>
      <w:r w:rsidR="00C42CF3">
        <w:t xml:space="preserve">BHP </w:t>
      </w:r>
      <w:r w:rsidR="00C93229">
        <w:t xml:space="preserve">argued that </w:t>
      </w:r>
      <w:r w:rsidR="00404A7D">
        <w:t xml:space="preserve">s 21(1)(b) of the </w:t>
      </w:r>
      <w:r w:rsidR="00404A7D">
        <w:rPr>
          <w:i/>
          <w:iCs/>
        </w:rPr>
        <w:t xml:space="preserve">Acts Interpretation Act 1901 </w:t>
      </w:r>
      <w:r w:rsidR="00404A7D">
        <w:t xml:space="preserve">(Cth) </w:t>
      </w:r>
      <w:r w:rsidR="000D63E4">
        <w:t xml:space="preserve">and </w:t>
      </w:r>
      <w:r w:rsidR="00404A7D">
        <w:t xml:space="preserve">the </w:t>
      </w:r>
      <w:r w:rsidR="000D63E4">
        <w:t xml:space="preserve">common law presumption against extraterritoriality apply so that Pt IVA </w:t>
      </w:r>
      <w:r w:rsidR="00B4336B">
        <w:t>must be</w:t>
      </w:r>
      <w:r w:rsidR="000D63E4">
        <w:t xml:space="preserve"> interpreted as not permitting the inclusion of group members who are not resident in Australia.</w:t>
      </w:r>
      <w:r w:rsidR="00214287">
        <w:t xml:space="preserve"> </w:t>
      </w:r>
    </w:p>
    <w:p w14:paraId="4CC9FF68" w14:textId="77777777" w:rsidR="00297D73" w:rsidRDefault="00297D73" w:rsidP="00F621F7">
      <w:pPr>
        <w:ind w:right="-285"/>
      </w:pPr>
    </w:p>
    <w:p w14:paraId="08234705" w14:textId="6F5FE9EE" w:rsidR="001C1EBD" w:rsidRDefault="0040674E" w:rsidP="000F05C1">
      <w:pPr>
        <w:ind w:right="-285"/>
      </w:pPr>
      <w:r>
        <w:t xml:space="preserve">The High Court </w:t>
      </w:r>
      <w:r w:rsidR="004C16D6">
        <w:t xml:space="preserve">unanimously </w:t>
      </w:r>
      <w:r>
        <w:t xml:space="preserve">rejected this argument, holding that </w:t>
      </w:r>
      <w:r w:rsidR="0089585A">
        <w:t xml:space="preserve">Pt IVA allows the inclusion of all </w:t>
      </w:r>
      <w:r w:rsidR="007047E3">
        <w:t xml:space="preserve">persons as </w:t>
      </w:r>
      <w:r w:rsidR="00410868">
        <w:t>group members</w:t>
      </w:r>
      <w:r w:rsidR="00A01CDB">
        <w:t xml:space="preserve"> in a representative proceeding</w:t>
      </w:r>
      <w:r w:rsidR="0089585A">
        <w:t xml:space="preserve">, irrespective of whether they are Australian residents, who have "claims" of the kind described in s 33C(1) of the </w:t>
      </w:r>
      <w:r w:rsidR="0089585A">
        <w:rPr>
          <w:i/>
          <w:iCs/>
        </w:rPr>
        <w:t>Federal Court of Australia Act</w:t>
      </w:r>
      <w:r w:rsidR="00410868">
        <w:rPr>
          <w:i/>
          <w:iCs/>
        </w:rPr>
        <w:t xml:space="preserve"> </w:t>
      </w:r>
      <w:r w:rsidR="00A4655B">
        <w:t xml:space="preserve">that are within the jurisdiction of the Federal Court. </w:t>
      </w:r>
      <w:r w:rsidR="000D5C4C">
        <w:t>P</w:t>
      </w:r>
      <w:r w:rsidR="00507370">
        <w:t>ar</w:t>
      </w:r>
      <w:r w:rsidR="000D5C4C">
        <w:t>t IVA</w:t>
      </w:r>
      <w:r w:rsidR="00464D54">
        <w:t xml:space="preserve"> is concerned with the </w:t>
      </w:r>
      <w:r w:rsidR="002D07EB">
        <w:t>powers</w:t>
      </w:r>
      <w:r w:rsidR="00464D54">
        <w:t xml:space="preserve"> and p</w:t>
      </w:r>
      <w:r w:rsidR="002D07EB">
        <w:t>rocedures</w:t>
      </w:r>
      <w:r w:rsidR="00464D54">
        <w:t xml:space="preserve"> of the Federal Court relating to the exercise of jurisdiction vested in it </w:t>
      </w:r>
      <w:r w:rsidR="002D07EB">
        <w:t>by</w:t>
      </w:r>
      <w:r w:rsidR="00464D54">
        <w:t xml:space="preserve"> other Commonwealth laws</w:t>
      </w:r>
      <w:r w:rsidR="007375D2">
        <w:t xml:space="preserve"> enacted under s 77</w:t>
      </w:r>
      <w:r w:rsidR="00A01CDB">
        <w:t>(i)</w:t>
      </w:r>
      <w:r w:rsidR="007375D2">
        <w:t xml:space="preserve"> of the </w:t>
      </w:r>
      <w:r w:rsidR="007375D2">
        <w:rPr>
          <w:i/>
          <w:iCs/>
        </w:rPr>
        <w:t>Constitution</w:t>
      </w:r>
      <w:r w:rsidR="009F64E6">
        <w:t>. The territorial connection of Pt IVA</w:t>
      </w:r>
      <w:r w:rsidR="005D2A72">
        <w:t xml:space="preserve"> to Australia</w:t>
      </w:r>
      <w:r w:rsidR="009F64E6">
        <w:t xml:space="preserve"> is direct and specific: it concerns the jurisdiction of the Federal Court</w:t>
      </w:r>
      <w:r w:rsidR="005D2A72">
        <w:t xml:space="preserve"> of Australia</w:t>
      </w:r>
      <w:r w:rsidR="009F64E6">
        <w:t>. There</w:t>
      </w:r>
      <w:r w:rsidR="005F1AF0">
        <w:t> </w:t>
      </w:r>
      <w:r w:rsidR="007D6FED">
        <w:t xml:space="preserve">is </w:t>
      </w:r>
      <w:r w:rsidR="009F64E6">
        <w:t xml:space="preserve">no basis to infer any further territorial </w:t>
      </w:r>
      <w:r w:rsidR="00464D54">
        <w:t xml:space="preserve">limitation </w:t>
      </w:r>
      <w:r w:rsidR="009F64E6">
        <w:t>into Pt</w:t>
      </w:r>
      <w:r w:rsidR="00532188">
        <w:t> </w:t>
      </w:r>
      <w:r w:rsidR="009F64E6">
        <w:t xml:space="preserve">IVA. </w:t>
      </w:r>
      <w:r w:rsidR="000D5C4C">
        <w:t xml:space="preserve"> </w:t>
      </w:r>
    </w:p>
    <w:p w14:paraId="5BB54F64" w14:textId="77777777" w:rsidR="00686F93" w:rsidRDefault="00686F93" w:rsidP="000F05C1">
      <w:pPr>
        <w:ind w:right="-285"/>
      </w:pPr>
    </w:p>
    <w:p w14:paraId="4C683946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640D" w14:textId="77777777" w:rsidR="006D4FFE" w:rsidRDefault="006D4FFE">
      <w:r>
        <w:separator/>
      </w:r>
    </w:p>
  </w:endnote>
  <w:endnote w:type="continuationSeparator" w:id="0">
    <w:p w14:paraId="16126337" w14:textId="77777777" w:rsidR="006D4FFE" w:rsidRDefault="006D4FFE">
      <w:r>
        <w:continuationSeparator/>
      </w:r>
    </w:p>
  </w:endnote>
  <w:endnote w:type="continuationNotice" w:id="1">
    <w:p w14:paraId="538D9096" w14:textId="77777777" w:rsidR="006D4FFE" w:rsidRDefault="006D4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02B6" w14:textId="77777777" w:rsidR="00235037" w:rsidRDefault="00235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E340" w14:textId="77777777" w:rsidR="00235037" w:rsidRDefault="00235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E32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6D741B0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1AFFDEF2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A540" w14:textId="77777777" w:rsidR="006D4FFE" w:rsidRDefault="006D4FFE">
      <w:r>
        <w:separator/>
      </w:r>
    </w:p>
  </w:footnote>
  <w:footnote w:type="continuationSeparator" w:id="0">
    <w:p w14:paraId="508B0376" w14:textId="77777777" w:rsidR="006D4FFE" w:rsidRDefault="006D4FFE">
      <w:r>
        <w:continuationSeparator/>
      </w:r>
    </w:p>
  </w:footnote>
  <w:footnote w:type="continuationNotice" w:id="1">
    <w:p w14:paraId="190811B6" w14:textId="77777777" w:rsidR="006D4FFE" w:rsidRDefault="006D4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C37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DBD2F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2638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A8DA34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5860" w14:textId="77777777" w:rsidR="00C83B24" w:rsidRDefault="00CA33AE">
    <w:pPr>
      <w:pStyle w:val="Header"/>
      <w:jc w:val="center"/>
    </w:pPr>
    <w:r>
      <w:rPr>
        <w:noProof/>
        <w:lang w:val="en-US" w:eastAsia="zh-TW"/>
      </w:rPr>
      <w:object w:dxaOrig="1440" w:dyaOrig="1440" w14:anchorId="7E7B0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27074218" r:id="rId2"/>
      </w:object>
    </w:r>
  </w:p>
  <w:p w14:paraId="3D7F1612" w14:textId="77777777" w:rsidR="00C83B24" w:rsidRDefault="00C83B24">
    <w:pPr>
      <w:spacing w:before="200" w:after="200"/>
      <w:jc w:val="center"/>
      <w:rPr>
        <w:rFonts w:ascii="Arial" w:hAnsi="Arial"/>
        <w:spacing w:val="40"/>
        <w:sz w:val="28"/>
      </w:rPr>
    </w:pPr>
  </w:p>
  <w:p w14:paraId="4F7E770C" w14:textId="77777777" w:rsidR="00C83B24" w:rsidRDefault="00C83B24">
    <w:pPr>
      <w:spacing w:before="200" w:after="200"/>
      <w:jc w:val="center"/>
      <w:rPr>
        <w:rFonts w:ascii="Arial" w:hAnsi="Arial"/>
        <w:spacing w:val="40"/>
        <w:sz w:val="28"/>
      </w:rPr>
    </w:pPr>
  </w:p>
  <w:p w14:paraId="41A9DE47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BD"/>
    <w:rsid w:val="00032795"/>
    <w:rsid w:val="000474B9"/>
    <w:rsid w:val="00063CD6"/>
    <w:rsid w:val="000A2A5B"/>
    <w:rsid w:val="000A66F8"/>
    <w:rsid w:val="000D5C4C"/>
    <w:rsid w:val="000D63E4"/>
    <w:rsid w:val="000F05C1"/>
    <w:rsid w:val="000F0F48"/>
    <w:rsid w:val="000F1746"/>
    <w:rsid w:val="001002E1"/>
    <w:rsid w:val="0012510F"/>
    <w:rsid w:val="00137E92"/>
    <w:rsid w:val="001611E1"/>
    <w:rsid w:val="001A6F15"/>
    <w:rsid w:val="001B6BA9"/>
    <w:rsid w:val="001C1EBD"/>
    <w:rsid w:val="001E3D80"/>
    <w:rsid w:val="00214287"/>
    <w:rsid w:val="00235037"/>
    <w:rsid w:val="002368F7"/>
    <w:rsid w:val="00263E61"/>
    <w:rsid w:val="00297D73"/>
    <w:rsid w:val="002C5496"/>
    <w:rsid w:val="002D07EB"/>
    <w:rsid w:val="002D2DE8"/>
    <w:rsid w:val="00310A6C"/>
    <w:rsid w:val="00360A4A"/>
    <w:rsid w:val="00370404"/>
    <w:rsid w:val="003A1AA2"/>
    <w:rsid w:val="003A3B7D"/>
    <w:rsid w:val="003A628F"/>
    <w:rsid w:val="003C4549"/>
    <w:rsid w:val="003D12F0"/>
    <w:rsid w:val="003F1B0F"/>
    <w:rsid w:val="003F7308"/>
    <w:rsid w:val="00404A7D"/>
    <w:rsid w:val="0040674E"/>
    <w:rsid w:val="00410868"/>
    <w:rsid w:val="00427C3A"/>
    <w:rsid w:val="0043599D"/>
    <w:rsid w:val="00443C39"/>
    <w:rsid w:val="00454E4D"/>
    <w:rsid w:val="00464D54"/>
    <w:rsid w:val="004B6647"/>
    <w:rsid w:val="004B7DC0"/>
    <w:rsid w:val="004C16D6"/>
    <w:rsid w:val="004C262F"/>
    <w:rsid w:val="004D5618"/>
    <w:rsid w:val="004D7FB7"/>
    <w:rsid w:val="00507370"/>
    <w:rsid w:val="00525004"/>
    <w:rsid w:val="00532188"/>
    <w:rsid w:val="005665E4"/>
    <w:rsid w:val="0058466A"/>
    <w:rsid w:val="00596568"/>
    <w:rsid w:val="005D2A72"/>
    <w:rsid w:val="005E04DD"/>
    <w:rsid w:val="005E28DB"/>
    <w:rsid w:val="005F16F6"/>
    <w:rsid w:val="005F1AF0"/>
    <w:rsid w:val="006071FC"/>
    <w:rsid w:val="00686F93"/>
    <w:rsid w:val="006A0DF4"/>
    <w:rsid w:val="006A3343"/>
    <w:rsid w:val="006D4FFE"/>
    <w:rsid w:val="007047E3"/>
    <w:rsid w:val="007375D2"/>
    <w:rsid w:val="007523BF"/>
    <w:rsid w:val="00755703"/>
    <w:rsid w:val="00792245"/>
    <w:rsid w:val="007A52EF"/>
    <w:rsid w:val="007D20CA"/>
    <w:rsid w:val="007D6FED"/>
    <w:rsid w:val="007E1387"/>
    <w:rsid w:val="0082612B"/>
    <w:rsid w:val="008548A3"/>
    <w:rsid w:val="00873C60"/>
    <w:rsid w:val="0089585A"/>
    <w:rsid w:val="00931579"/>
    <w:rsid w:val="009567EA"/>
    <w:rsid w:val="0097518F"/>
    <w:rsid w:val="009A44F7"/>
    <w:rsid w:val="009B3777"/>
    <w:rsid w:val="009C6685"/>
    <w:rsid w:val="009D2120"/>
    <w:rsid w:val="009F64E6"/>
    <w:rsid w:val="00A01CDB"/>
    <w:rsid w:val="00A13679"/>
    <w:rsid w:val="00A323DA"/>
    <w:rsid w:val="00A33BC6"/>
    <w:rsid w:val="00A4655B"/>
    <w:rsid w:val="00A50E50"/>
    <w:rsid w:val="00AA1ACF"/>
    <w:rsid w:val="00AA56B4"/>
    <w:rsid w:val="00AA762D"/>
    <w:rsid w:val="00AA77F3"/>
    <w:rsid w:val="00AE494D"/>
    <w:rsid w:val="00AE5B27"/>
    <w:rsid w:val="00B4336B"/>
    <w:rsid w:val="00B533E8"/>
    <w:rsid w:val="00B91FAB"/>
    <w:rsid w:val="00B94A0F"/>
    <w:rsid w:val="00BF0DBE"/>
    <w:rsid w:val="00C15883"/>
    <w:rsid w:val="00C42B11"/>
    <w:rsid w:val="00C42CF3"/>
    <w:rsid w:val="00C82475"/>
    <w:rsid w:val="00C83A17"/>
    <w:rsid w:val="00C83B24"/>
    <w:rsid w:val="00C86702"/>
    <w:rsid w:val="00C93229"/>
    <w:rsid w:val="00CA33AE"/>
    <w:rsid w:val="00CA44B9"/>
    <w:rsid w:val="00D37DBD"/>
    <w:rsid w:val="00D50FFC"/>
    <w:rsid w:val="00D83C59"/>
    <w:rsid w:val="00D85F8D"/>
    <w:rsid w:val="00DB5BE8"/>
    <w:rsid w:val="00DC349E"/>
    <w:rsid w:val="00DE6136"/>
    <w:rsid w:val="00E368EF"/>
    <w:rsid w:val="00E36F17"/>
    <w:rsid w:val="00E4509E"/>
    <w:rsid w:val="00E71DBB"/>
    <w:rsid w:val="00E95A71"/>
    <w:rsid w:val="00E96DF7"/>
    <w:rsid w:val="00F37789"/>
    <w:rsid w:val="00F54BC7"/>
    <w:rsid w:val="00F621F7"/>
    <w:rsid w:val="00FB3198"/>
    <w:rsid w:val="00FB6094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76FA85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.brown\High%20Court%20of%20Australia\Justice%20Gordon%20-%20Chambers%20Workspace\Full%20Court%20Hearings\BHP-Impiombato_M12_2022\11.%20CW,%20JS,%20orders\J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1" ma:contentTypeDescription="Create a new document." ma:contentTypeScope="" ma:versionID="79b71488c7f7c92fea550d69a869d48a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19b14391977e75bc7abe1503a28c29f3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43BAC-81F0-46FA-B97E-C0E735E5A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C8D18-9FE8-46B3-B481-F4FF4D028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80974-FEA5-48B2-B0B9-ACD2C13F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 Template.dotx</Template>
  <TotalTime>0</TotalTime>
  <Pages>1</Pages>
  <Words>469</Words>
  <Characters>2377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2022-10-11T06:31:00Z</cp:lastPrinted>
  <dcterms:created xsi:type="dcterms:W3CDTF">2022-10-11T23:04:00Z</dcterms:created>
  <dcterms:modified xsi:type="dcterms:W3CDTF">2022-10-11T23:04:00Z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