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3AE8F" w14:textId="662B3623" w:rsidR="00AE4660" w:rsidRDefault="00AE4660" w:rsidP="00AE4660">
      <w:pPr>
        <w:pStyle w:val="HeadingFirst"/>
      </w:pPr>
      <w:r>
        <w:t>Court Education is not just for lawyers</w:t>
      </w:r>
    </w:p>
    <w:p w14:paraId="2EFC7553" w14:textId="77777777" w:rsidR="00AE4660" w:rsidRDefault="00AE4660" w:rsidP="00AE4660">
      <w:pPr>
        <w:pStyle w:val="HeadingFirst"/>
      </w:pPr>
      <w:r>
        <w:t>Jacqueline Gleeson</w:t>
      </w:r>
      <w:r w:rsidRPr="005060B7">
        <w:rPr>
          <w:rStyle w:val="FootnoteReference"/>
        </w:rPr>
        <w:footnoteReference w:customMarkFollows="1" w:id="2"/>
        <w:sym w:font="Symbol" w:char="F02A"/>
      </w:r>
    </w:p>
    <w:p w14:paraId="262DAEAC" w14:textId="77777777" w:rsidR="00AE4660" w:rsidRPr="00024D05" w:rsidRDefault="00AE4660" w:rsidP="00AE4660">
      <w:pPr>
        <w:pStyle w:val="HeadingFirst"/>
        <w:jc w:val="left"/>
      </w:pPr>
    </w:p>
    <w:p w14:paraId="4192B4D5" w14:textId="0587C43A" w:rsidR="00AE4660" w:rsidRDefault="00AD3785" w:rsidP="00AE4660">
      <w:pPr>
        <w:pStyle w:val="HeadingMatter"/>
        <w:jc w:val="center"/>
      </w:pPr>
      <w:r>
        <w:t>Kathleen Burrow Research Institute Lecture</w:t>
      </w:r>
      <w:r w:rsidR="00AE4660">
        <w:t xml:space="preserve">, </w:t>
      </w:r>
      <w:r w:rsidR="00383F7E">
        <w:t xml:space="preserve">delivered at the University of Sydney, </w:t>
      </w:r>
      <w:r>
        <w:t>5 October</w:t>
      </w:r>
      <w:r w:rsidR="00AE4660">
        <w:t xml:space="preserve"> 2022</w:t>
      </w:r>
    </w:p>
    <w:p w14:paraId="6B0654AF" w14:textId="77777777" w:rsidR="00383F7E" w:rsidRDefault="00383F7E" w:rsidP="00273116">
      <w:pPr>
        <w:pStyle w:val="HeadingL1"/>
      </w:pPr>
    </w:p>
    <w:p w14:paraId="1171DE29" w14:textId="28D413BF" w:rsidR="006A7673" w:rsidRPr="003B21D9" w:rsidRDefault="003B21D9" w:rsidP="00273116">
      <w:pPr>
        <w:pStyle w:val="HeadingL1"/>
      </w:pPr>
      <w:r>
        <w:t>Introduction</w:t>
      </w:r>
    </w:p>
    <w:p w14:paraId="09B3BB72" w14:textId="1E7C7369" w:rsidR="008D73FE" w:rsidRDefault="00A44B76" w:rsidP="003B4DF5">
      <w:pPr>
        <w:pStyle w:val="NormalHC"/>
      </w:pPr>
      <w:r>
        <w:tab/>
      </w:r>
      <w:r w:rsidR="003F3E12">
        <w:t>Like Kathleen Burrow</w:t>
      </w:r>
      <w:r w:rsidR="004B0312">
        <w:t xml:space="preserve"> and </w:t>
      </w:r>
      <w:r w:rsidR="009214A3">
        <w:t xml:space="preserve">myself, </w:t>
      </w:r>
      <w:r w:rsidR="008060EC">
        <w:t xml:space="preserve">Mary Gaudron </w:t>
      </w:r>
      <w:r w:rsidR="00853E3E">
        <w:t xml:space="preserve">was </w:t>
      </w:r>
      <w:r w:rsidR="00596A00">
        <w:t>the</w:t>
      </w:r>
      <w:r w:rsidR="004A511A">
        <w:t xml:space="preserve"> beneficiary of a Catholic education</w:t>
      </w:r>
      <w:r w:rsidR="00853E3E">
        <w:t xml:space="preserve">. </w:t>
      </w:r>
      <w:r w:rsidR="003C1719">
        <w:t xml:space="preserve">Before her appointment </w:t>
      </w:r>
      <w:r w:rsidR="001B14AE">
        <w:t>as the first female Justice of the High Court of Australia</w:t>
      </w:r>
      <w:r w:rsidR="009B313F">
        <w:t xml:space="preserve"> in 1987</w:t>
      </w:r>
      <w:r w:rsidR="00A031DC">
        <w:t xml:space="preserve"> at the age of </w:t>
      </w:r>
      <w:r w:rsidR="008D3265">
        <w:t>44</w:t>
      </w:r>
      <w:r w:rsidR="008127D7">
        <w:t xml:space="preserve">, </w:t>
      </w:r>
      <w:r w:rsidR="001B14AE">
        <w:t>M</w:t>
      </w:r>
      <w:r w:rsidR="00CA14DF">
        <w:t>ary Gaudron</w:t>
      </w:r>
      <w:r w:rsidR="009D4B3B">
        <w:t xml:space="preserve"> was also</w:t>
      </w:r>
      <w:r w:rsidR="00E26940">
        <w:t xml:space="preserve"> </w:t>
      </w:r>
      <w:r w:rsidR="00561D0E">
        <w:t xml:space="preserve">the first </w:t>
      </w:r>
      <w:r w:rsidR="009D07CE">
        <w:t xml:space="preserve">female </w:t>
      </w:r>
      <w:r w:rsidR="00561D0E">
        <w:t xml:space="preserve">Solicitor-General </w:t>
      </w:r>
      <w:r w:rsidR="00507027">
        <w:t>to have been appointed in</w:t>
      </w:r>
      <w:r w:rsidR="00561D0E">
        <w:t xml:space="preserve"> any jurisdiction in Australia</w:t>
      </w:r>
      <w:r w:rsidR="00372FD9">
        <w:t>. As</w:t>
      </w:r>
      <w:r w:rsidR="009B313F">
        <w:t xml:space="preserve"> </w:t>
      </w:r>
      <w:r w:rsidR="005A209C">
        <w:t>Solicitor-General for New South Wales</w:t>
      </w:r>
      <w:r w:rsidR="00372FD9">
        <w:t>,</w:t>
      </w:r>
      <w:r w:rsidR="008127D7">
        <w:t xml:space="preserve"> </w:t>
      </w:r>
      <w:r w:rsidR="00E32889">
        <w:t>M</w:t>
      </w:r>
      <w:r w:rsidR="00435DF2">
        <w:t>s</w:t>
      </w:r>
      <w:r w:rsidR="00E32889">
        <w:t xml:space="preserve"> Gaudron</w:t>
      </w:r>
      <w:r w:rsidR="003B4DF5">
        <w:t xml:space="preserve"> </w:t>
      </w:r>
      <w:r w:rsidR="003C1F7B">
        <w:t xml:space="preserve">QC </w:t>
      </w:r>
      <w:r w:rsidR="003B4DF5">
        <w:t>said that</w:t>
      </w:r>
      <w:r w:rsidR="00FE41CA">
        <w:t xml:space="preserve"> she</w:t>
      </w:r>
      <w:r w:rsidR="00451618">
        <w:t>:</w:t>
      </w:r>
    </w:p>
    <w:p w14:paraId="226278E3" w14:textId="6102F545" w:rsidR="00F46BAE" w:rsidRDefault="003B4DF5" w:rsidP="008D73FE">
      <w:pPr>
        <w:pStyle w:val="LRIndentafterHC"/>
      </w:pPr>
      <w:r>
        <w:t>"</w:t>
      </w:r>
      <w:r w:rsidR="00E12C72">
        <w:t>...</w:t>
      </w:r>
      <w:r w:rsidR="00A2114F">
        <w:t>should like to see a greater awareness in the community at large of legal rights, responsibilities and remedies available. P</w:t>
      </w:r>
      <w:r>
        <w:t>erhaps in the long term I should like to see that the law is not something apart from ordinary life… People should see that the law is there not to stand against them, but for their benefit."</w:t>
      </w:r>
      <w:r w:rsidR="000D3335" w:rsidRPr="000D3335">
        <w:rPr>
          <w:rStyle w:val="FootnoteReference"/>
        </w:rPr>
        <w:t xml:space="preserve"> </w:t>
      </w:r>
      <w:r w:rsidR="000D3335">
        <w:rPr>
          <w:rStyle w:val="FootnoteReference"/>
        </w:rPr>
        <w:footnoteReference w:id="3"/>
      </w:r>
      <w:r w:rsidR="0016058D">
        <w:t xml:space="preserve">  </w:t>
      </w:r>
    </w:p>
    <w:p w14:paraId="33C983EB" w14:textId="77777777" w:rsidR="008D73FE" w:rsidRPr="008D73FE" w:rsidRDefault="008D73FE" w:rsidP="008D73FE">
      <w:pPr>
        <w:pStyle w:val="leftright"/>
      </w:pPr>
    </w:p>
    <w:p w14:paraId="3B1B14E1" w14:textId="2DEE2B08" w:rsidR="00AB349F" w:rsidRDefault="00A44B76" w:rsidP="00DF17DB">
      <w:pPr>
        <w:pStyle w:val="NormalHC"/>
      </w:pPr>
      <w:r>
        <w:tab/>
      </w:r>
      <w:r w:rsidR="00C81E67">
        <w:t>These aspirations</w:t>
      </w:r>
      <w:r w:rsidR="008A2E74">
        <w:t xml:space="preserve">, </w:t>
      </w:r>
      <w:r w:rsidR="008E04D9">
        <w:t xml:space="preserve">albeit </w:t>
      </w:r>
      <w:r w:rsidR="008A2E74">
        <w:t>expressed some 40 years ago,</w:t>
      </w:r>
      <w:r w:rsidR="00C81E67">
        <w:t xml:space="preserve"> </w:t>
      </w:r>
      <w:r w:rsidR="008E04D9">
        <w:t>have contemporary relevance</w:t>
      </w:r>
      <w:r w:rsidR="00475BA9">
        <w:t xml:space="preserve">. They </w:t>
      </w:r>
      <w:r w:rsidR="00AB1ABF">
        <w:t>posit insufficien</w:t>
      </w:r>
      <w:r w:rsidR="00FE5CAD">
        <w:t>cies in</w:t>
      </w:r>
      <w:r w:rsidR="00AB1ABF">
        <w:t xml:space="preserve"> general community </w:t>
      </w:r>
      <w:r w:rsidR="008265CA">
        <w:t xml:space="preserve">knowledge of important elements of the law, </w:t>
      </w:r>
      <w:r w:rsidR="00FE5CAD">
        <w:t xml:space="preserve">in </w:t>
      </w:r>
      <w:r w:rsidR="001B4BA8">
        <w:t xml:space="preserve">conscious </w:t>
      </w:r>
      <w:r w:rsidR="00CB4416">
        <w:t>recognition of how law</w:t>
      </w:r>
      <w:r w:rsidR="0029170C">
        <w:t xml:space="preserve">s and the rule of law </w:t>
      </w:r>
      <w:r w:rsidR="004D4F04">
        <w:t xml:space="preserve">affect </w:t>
      </w:r>
      <w:r w:rsidR="00F75234">
        <w:t>everyday life</w:t>
      </w:r>
      <w:r w:rsidR="003E5E58">
        <w:t xml:space="preserve">. </w:t>
      </w:r>
      <w:r w:rsidR="004A1E9C">
        <w:t xml:space="preserve">Embedded within </w:t>
      </w:r>
      <w:r w:rsidR="00AB69DA">
        <w:t>Ms Gaudron's</w:t>
      </w:r>
      <w:r w:rsidR="00F27586">
        <w:t xml:space="preserve"> aspirations are also</w:t>
      </w:r>
      <w:r w:rsidR="003E5E58">
        <w:t xml:space="preserve"> </w:t>
      </w:r>
      <w:r w:rsidR="00212E0F">
        <w:t xml:space="preserve">normative </w:t>
      </w:r>
      <w:r w:rsidR="000162FB">
        <w:t>goals</w:t>
      </w:r>
      <w:r w:rsidR="00212E0F">
        <w:t xml:space="preserve">: </w:t>
      </w:r>
      <w:r w:rsidR="000162FB">
        <w:t>just laws</w:t>
      </w:r>
      <w:r w:rsidR="00E24B80">
        <w:t>;</w:t>
      </w:r>
      <w:r w:rsidR="000162FB">
        <w:t xml:space="preserve"> a legal </w:t>
      </w:r>
      <w:r w:rsidR="00666708">
        <w:t xml:space="preserve">system </w:t>
      </w:r>
      <w:r w:rsidR="000162FB">
        <w:t xml:space="preserve">that </w:t>
      </w:r>
      <w:r w:rsidR="00666708">
        <w:t>operate</w:t>
      </w:r>
      <w:r w:rsidR="000162FB">
        <w:t>s</w:t>
      </w:r>
      <w:r w:rsidR="00666708">
        <w:t xml:space="preserve"> fairly for the benefit of </w:t>
      </w:r>
      <w:r w:rsidR="000162FB">
        <w:t xml:space="preserve">all members of </w:t>
      </w:r>
      <w:r w:rsidR="00666708">
        <w:t xml:space="preserve">the community, </w:t>
      </w:r>
      <w:r w:rsidR="000162FB">
        <w:t>and not</w:t>
      </w:r>
      <w:r w:rsidR="00666708">
        <w:t xml:space="preserve"> as a tool of oppression</w:t>
      </w:r>
      <w:r w:rsidR="000162FB">
        <w:t xml:space="preserve">; </w:t>
      </w:r>
      <w:r w:rsidR="00E24B80">
        <w:t xml:space="preserve">and </w:t>
      </w:r>
      <w:r w:rsidR="002A4EF9">
        <w:t>adequate access to justice</w:t>
      </w:r>
      <w:r w:rsidR="00E24B80">
        <w:t>.</w:t>
      </w:r>
    </w:p>
    <w:p w14:paraId="34051804" w14:textId="14E97E4F" w:rsidR="0028367F" w:rsidRDefault="00A44B76" w:rsidP="003B4B3D">
      <w:pPr>
        <w:pStyle w:val="NormalHC"/>
      </w:pPr>
      <w:r>
        <w:tab/>
      </w:r>
      <w:r w:rsidR="00AB69DA">
        <w:t xml:space="preserve">Accepting </w:t>
      </w:r>
      <w:r w:rsidR="00737345">
        <w:t>that</w:t>
      </w:r>
      <w:r w:rsidR="001D7101">
        <w:t xml:space="preserve"> Mary Gaudron's aspirations </w:t>
      </w:r>
      <w:r w:rsidR="00AB69DA">
        <w:t>remain relevant and appropriate</w:t>
      </w:r>
      <w:r w:rsidR="00C87887">
        <w:t xml:space="preserve">, </w:t>
      </w:r>
      <w:r w:rsidR="00A94A82">
        <w:t>education is an obvious means to</w:t>
      </w:r>
      <w:r w:rsidR="00E44DC2">
        <w:t>wards</w:t>
      </w:r>
      <w:r w:rsidR="004336AC">
        <w:t xml:space="preserve"> their achievement</w:t>
      </w:r>
      <w:r w:rsidR="00A94A82">
        <w:t xml:space="preserve">. </w:t>
      </w:r>
      <w:r w:rsidR="00D87EEF">
        <w:t>Awareness of rights</w:t>
      </w:r>
      <w:r w:rsidR="00E44DC2">
        <w:t>,</w:t>
      </w:r>
      <w:r w:rsidR="00D87EEF">
        <w:t xml:space="preserve"> responsibilities and remedies</w:t>
      </w:r>
      <w:r w:rsidR="0035018B">
        <w:t xml:space="preserve"> is not only necessary </w:t>
      </w:r>
      <w:r w:rsidR="00A0643E">
        <w:t>to invoking rights</w:t>
      </w:r>
      <w:r w:rsidR="00F4446D">
        <w:t xml:space="preserve"> and claiming remedies (and to discharging responsibilities in an informed way)</w:t>
      </w:r>
      <w:r w:rsidR="00DC6B89">
        <w:t xml:space="preserve">. </w:t>
      </w:r>
      <w:r w:rsidR="00D87EEF">
        <w:t>It is also</w:t>
      </w:r>
      <w:r w:rsidR="00F4446D">
        <w:t xml:space="preserve"> required </w:t>
      </w:r>
      <w:r w:rsidR="00DC6B89">
        <w:t xml:space="preserve">for </w:t>
      </w:r>
      <w:r w:rsidR="00F4446D">
        <w:t xml:space="preserve">informed discussions </w:t>
      </w:r>
      <w:r w:rsidR="00555D11">
        <w:t xml:space="preserve">about the </w:t>
      </w:r>
      <w:r w:rsidR="0028367F">
        <w:t>strengths and weakness</w:t>
      </w:r>
      <w:r w:rsidR="00501480">
        <w:t>es</w:t>
      </w:r>
      <w:r w:rsidR="0028367F">
        <w:t xml:space="preserve"> of our</w:t>
      </w:r>
      <w:r w:rsidR="00501480">
        <w:t xml:space="preserve"> legal system</w:t>
      </w:r>
      <w:r w:rsidR="00D87EEF">
        <w:t>,</w:t>
      </w:r>
      <w:r w:rsidR="0028367F">
        <w:t xml:space="preserve"> and </w:t>
      </w:r>
      <w:r w:rsidR="00D87EEF">
        <w:t xml:space="preserve">about </w:t>
      </w:r>
      <w:r w:rsidR="0028367F">
        <w:t xml:space="preserve">what might be required </w:t>
      </w:r>
      <w:r w:rsidR="00282FE0">
        <w:t xml:space="preserve">for people to </w:t>
      </w:r>
      <w:r w:rsidR="007C3A7E">
        <w:t>know</w:t>
      </w:r>
      <w:r w:rsidR="00A7332F">
        <w:t xml:space="preserve"> </w:t>
      </w:r>
      <w:r w:rsidR="00282FE0">
        <w:t>that the law does not stand against them, but operates for their benefit.</w:t>
      </w:r>
    </w:p>
    <w:p w14:paraId="69AE25DD" w14:textId="2D66B676" w:rsidR="00AB0063" w:rsidRDefault="00A44B76" w:rsidP="00DF17DB">
      <w:pPr>
        <w:pStyle w:val="NormalHC"/>
      </w:pPr>
      <w:r>
        <w:tab/>
      </w:r>
      <w:r w:rsidR="00A31727">
        <w:t>M</w:t>
      </w:r>
      <w:r w:rsidR="007C4A2D">
        <w:t xml:space="preserve">y particular subject today is </w:t>
      </w:r>
      <w:r w:rsidR="00907B64">
        <w:t xml:space="preserve">one aspect of </w:t>
      </w:r>
      <w:r w:rsidR="004E18F8">
        <w:t>civic</w:t>
      </w:r>
      <w:r w:rsidR="00907B64">
        <w:t xml:space="preserve"> education: court education. </w:t>
      </w:r>
      <w:r w:rsidR="006F2926">
        <w:t xml:space="preserve">A </w:t>
      </w:r>
      <w:r w:rsidR="00205060">
        <w:t>working definition of "court education"</w:t>
      </w:r>
      <w:r w:rsidR="006F2926">
        <w:t>,</w:t>
      </w:r>
      <w:r w:rsidR="00205060">
        <w:t xml:space="preserve"> developed by Jacqueline Charles, a legal educator and recipient of a 2019 Churchill Fellowship</w:t>
      </w:r>
      <w:r w:rsidR="002F4579">
        <w:t>,</w:t>
      </w:r>
      <w:r w:rsidR="00AB0063">
        <w:t xml:space="preserve"> is as follows:</w:t>
      </w:r>
    </w:p>
    <w:p w14:paraId="6AEC6866" w14:textId="7EB486A5" w:rsidR="00205060" w:rsidRDefault="00AB0063" w:rsidP="00AB0063">
      <w:pPr>
        <w:pStyle w:val="LRIndentafterHC"/>
      </w:pPr>
      <w:r>
        <w:t>C</w:t>
      </w:r>
      <w:r w:rsidR="00205060">
        <w:t xml:space="preserve">ourt education involves formal and informal education experiences, predominantly for young people, that occur within a court building or are concerned with </w:t>
      </w:r>
      <w:r w:rsidR="00205060">
        <w:lastRenderedPageBreak/>
        <w:t>the operation of courts, as part of a broader civic education program and in law related subject streams of school curricula</w:t>
      </w:r>
      <w:r w:rsidR="00205060">
        <w:rPr>
          <w:rStyle w:val="FootnoteReference"/>
        </w:rPr>
        <w:footnoteReference w:id="4"/>
      </w:r>
      <w:r w:rsidR="00205060">
        <w:t>.</w:t>
      </w:r>
    </w:p>
    <w:p w14:paraId="3438450E" w14:textId="77777777" w:rsidR="00797244" w:rsidRPr="00797244" w:rsidRDefault="00797244" w:rsidP="00797244">
      <w:pPr>
        <w:pStyle w:val="leftright"/>
      </w:pPr>
    </w:p>
    <w:p w14:paraId="2E394349" w14:textId="37093A80" w:rsidR="00897DBD" w:rsidRDefault="00A44B76" w:rsidP="003B4B3D">
      <w:pPr>
        <w:pStyle w:val="NormalHC"/>
      </w:pPr>
      <w:r>
        <w:tab/>
      </w:r>
      <w:r w:rsidR="00157C79">
        <w:t xml:space="preserve">My remarks will </w:t>
      </w:r>
      <w:r w:rsidR="005D1131">
        <w:t>begin by</w:t>
      </w:r>
      <w:r w:rsidR="001D3E57">
        <w:t xml:space="preserve"> </w:t>
      </w:r>
      <w:r w:rsidR="00FC6B16">
        <w:t>reflect</w:t>
      </w:r>
      <w:r w:rsidR="005D1131">
        <w:t>ing</w:t>
      </w:r>
      <w:r w:rsidR="00FC6B16">
        <w:t xml:space="preserve"> on</w:t>
      </w:r>
      <w:r w:rsidR="001D3E57">
        <w:t xml:space="preserve"> the </w:t>
      </w:r>
      <w:r w:rsidR="00AB24CA">
        <w:t>goals</w:t>
      </w:r>
      <w:r w:rsidR="001D3E57">
        <w:t xml:space="preserve"> of educating young </w:t>
      </w:r>
      <w:r w:rsidR="0031303B">
        <w:t xml:space="preserve">people </w:t>
      </w:r>
      <w:r w:rsidR="00A613A5">
        <w:t>about</w:t>
      </w:r>
      <w:r w:rsidR="009E4F26">
        <w:t xml:space="preserve"> the courts</w:t>
      </w:r>
      <w:r w:rsidR="00731570">
        <w:t xml:space="preserve"> </w:t>
      </w:r>
      <w:r w:rsidR="00731570">
        <w:rPr>
          <w:rFonts w:ascii="Arial" w:hAnsi="Arial" w:cs="Arial"/>
          <w:color w:val="202124"/>
          <w:sz w:val="21"/>
          <w:szCs w:val="21"/>
          <w:shd w:val="clear" w:color="auto" w:fill="FFFFFF"/>
        </w:rPr>
        <w:t xml:space="preserve">— </w:t>
      </w:r>
      <w:r w:rsidR="005D1131">
        <w:t>one of</w:t>
      </w:r>
      <w:r w:rsidR="00733864">
        <w:t xml:space="preserve"> the</w:t>
      </w:r>
      <w:r w:rsidR="00FC6B16">
        <w:t xml:space="preserve"> basic institutions of our </w:t>
      </w:r>
      <w:r w:rsidR="00A613A5">
        <w:t xml:space="preserve">liberal </w:t>
      </w:r>
      <w:r w:rsidR="00FC6B16">
        <w:t xml:space="preserve">democracy. I will </w:t>
      </w:r>
      <w:r w:rsidR="005D1131">
        <w:t>then</w:t>
      </w:r>
      <w:r w:rsidR="00FC6B16">
        <w:t xml:space="preserve"> </w:t>
      </w:r>
      <w:r w:rsidR="00A35609">
        <w:t>describe</w:t>
      </w:r>
      <w:r w:rsidR="00AC6151">
        <w:t xml:space="preserve"> </w:t>
      </w:r>
      <w:r w:rsidR="00312C4B">
        <w:t>how the courts</w:t>
      </w:r>
      <w:r w:rsidR="00731570">
        <w:t xml:space="preserve"> themselves</w:t>
      </w:r>
      <w:r w:rsidR="00312C4B">
        <w:t xml:space="preserve"> </w:t>
      </w:r>
      <w:r w:rsidR="00AB24CA">
        <w:t xml:space="preserve">are </w:t>
      </w:r>
      <w:r w:rsidR="004679A1">
        <w:t xml:space="preserve">contributing </w:t>
      </w:r>
      <w:r w:rsidR="0031303B">
        <w:t xml:space="preserve">and may contribute more </w:t>
      </w:r>
      <w:r w:rsidR="004679A1">
        <w:t xml:space="preserve">to </w:t>
      </w:r>
      <w:r w:rsidR="004C1E94">
        <w:t>students' education about the legal system</w:t>
      </w:r>
      <w:r w:rsidR="00AB24CA">
        <w:t>.</w:t>
      </w:r>
    </w:p>
    <w:p w14:paraId="4F3ED3AE" w14:textId="30E00B66" w:rsidR="00E71B11" w:rsidRPr="00E71B11" w:rsidRDefault="002000BA" w:rsidP="00273116">
      <w:pPr>
        <w:pStyle w:val="HeadingL1"/>
      </w:pPr>
      <w:r>
        <w:t xml:space="preserve">Why </w:t>
      </w:r>
      <w:r w:rsidR="005B7961">
        <w:t>have court education?</w:t>
      </w:r>
    </w:p>
    <w:p w14:paraId="1B48725C" w14:textId="758D5F02" w:rsidR="00C55EE6" w:rsidRDefault="00A44B76" w:rsidP="00463011">
      <w:pPr>
        <w:pStyle w:val="NormalHC"/>
      </w:pPr>
      <w:r>
        <w:tab/>
      </w:r>
      <w:r w:rsidR="006A7673">
        <w:t>The value of court education cannot be understood separately from the broader value of civic education.</w:t>
      </w:r>
      <w:r w:rsidR="00463011">
        <w:t xml:space="preserve"> </w:t>
      </w:r>
      <w:r w:rsidR="006A7673">
        <w:t>The unique aim of civic education is 'the formation of individuals who can effectively conduct their lives within, and support, their political community'</w:t>
      </w:r>
      <w:r w:rsidR="006A7673">
        <w:rPr>
          <w:rStyle w:val="FootnoteReference"/>
        </w:rPr>
        <w:footnoteReference w:id="5"/>
      </w:r>
      <w:r w:rsidR="006A7673">
        <w:t xml:space="preserve">. </w:t>
      </w:r>
      <w:r w:rsidR="002C42F2">
        <w:t>Put another way</w:t>
      </w:r>
      <w:r w:rsidR="006A7673">
        <w:t xml:space="preserve">, the purpose of civic education is the shaping of the young into </w:t>
      </w:r>
      <w:r w:rsidR="006A7673" w:rsidRPr="00463011">
        <w:rPr>
          <w:i/>
          <w:iCs/>
        </w:rPr>
        <w:t>citizens</w:t>
      </w:r>
      <w:r w:rsidR="006A7673">
        <w:t xml:space="preserve"> </w:t>
      </w:r>
      <w:r w:rsidR="008104C8">
        <w:t>–</w:t>
      </w:r>
      <w:r w:rsidR="006A7673">
        <w:t xml:space="preserve"> participants in public life </w:t>
      </w:r>
      <w:r w:rsidR="00375F91">
        <w:t>who</w:t>
      </w:r>
      <w:r w:rsidR="006A7673">
        <w:t xml:space="preserve"> are committed to the political community's basic values, and are capable of participating effectively in </w:t>
      </w:r>
      <w:r w:rsidR="00D07DE4">
        <w:t>the subsisting</w:t>
      </w:r>
      <w:r w:rsidR="006A7673">
        <w:t xml:space="preserve"> system of government. That is a definition broad enough to accommodate the fact that civic </w:t>
      </w:r>
      <w:r w:rsidR="006A7673">
        <w:lastRenderedPageBreak/>
        <w:t>education has throughout history been associated with political systems</w:t>
      </w:r>
      <w:r w:rsidR="004D2080">
        <w:t xml:space="preserve"> apart from</w:t>
      </w:r>
      <w:r w:rsidR="006A7673">
        <w:t xml:space="preserve"> our </w:t>
      </w:r>
      <w:r w:rsidR="004D2080">
        <w:t>current</w:t>
      </w:r>
      <w:r w:rsidR="006A7673">
        <w:t xml:space="preserve"> system of liberal democracy</w:t>
      </w:r>
      <w:r w:rsidR="006A7673">
        <w:rPr>
          <w:rStyle w:val="FootnoteReference"/>
        </w:rPr>
        <w:footnoteReference w:id="6"/>
      </w:r>
      <w:r w:rsidR="008104C8">
        <w:t>.</w:t>
      </w:r>
    </w:p>
    <w:p w14:paraId="49AD0693" w14:textId="30991A25" w:rsidR="006A7673" w:rsidRDefault="0087437B" w:rsidP="00D9451B">
      <w:pPr>
        <w:pStyle w:val="NormalHC"/>
      </w:pPr>
      <w:r>
        <w:tab/>
      </w:r>
      <w:r w:rsidR="00FB4358">
        <w:t xml:space="preserve">Within a liberal democracy, </w:t>
      </w:r>
      <w:r w:rsidR="001F1F8A">
        <w:t xml:space="preserve">civic education </w:t>
      </w:r>
      <w:r w:rsidR="00D41B33">
        <w:t xml:space="preserve">also has </w:t>
      </w:r>
      <w:r w:rsidR="00A1251C">
        <w:t xml:space="preserve">more </w:t>
      </w:r>
      <w:r w:rsidR="001F1F8A">
        <w:t>particular purposes</w:t>
      </w:r>
      <w:r w:rsidR="00756B26">
        <w:t xml:space="preserve"> including </w:t>
      </w:r>
      <w:r w:rsidR="00822965">
        <w:t xml:space="preserve">purposes </w:t>
      </w:r>
      <w:r w:rsidR="00D770B6">
        <w:t>reflected</w:t>
      </w:r>
      <w:r w:rsidR="002B37C4">
        <w:t xml:space="preserve"> in the Cat</w:t>
      </w:r>
      <w:r w:rsidR="00E4307A">
        <w:t>e</w:t>
      </w:r>
      <w:r w:rsidR="002B37C4">
        <w:t>chism of the Catholic Church, and in</w:t>
      </w:r>
      <w:r w:rsidR="00D41B33">
        <w:t xml:space="preserve"> papal</w:t>
      </w:r>
      <w:r w:rsidR="002063B8">
        <w:t xml:space="preserve"> teachings</w:t>
      </w:r>
      <w:r w:rsidR="008C6858">
        <w:t>.</w:t>
      </w:r>
      <w:r w:rsidR="005A37B8">
        <w:t xml:space="preserve"> </w:t>
      </w:r>
      <w:r w:rsidR="00E26063">
        <w:t xml:space="preserve">The Catechism states that, as far as possible, citizens should take an active part in public life and that "[i]t is the duty of citizens to contribute </w:t>
      </w:r>
      <w:r w:rsidR="00E51D88">
        <w:t xml:space="preserve">... </w:t>
      </w:r>
      <w:r w:rsidR="00E26063">
        <w:t>to the good of society in a spirit of truth, justice, solidarity, and freedom...</w:t>
      </w:r>
      <w:r w:rsidR="008104C8">
        <w:t xml:space="preserve"> </w:t>
      </w:r>
      <w:r w:rsidR="00E26063">
        <w:t>Submission to legitimate authorities and service of the common good require citizens to fulfil their roles in the life of the political community"</w:t>
      </w:r>
      <w:r w:rsidR="003D3F96">
        <w:rPr>
          <w:rStyle w:val="FootnoteReference"/>
        </w:rPr>
        <w:footnoteReference w:id="7"/>
      </w:r>
      <w:r w:rsidR="008104C8">
        <w:t>.</w:t>
      </w:r>
      <w:r w:rsidR="00E26063">
        <w:t xml:space="preserve"> T</w:t>
      </w:r>
      <w:r w:rsidR="001B5A63">
        <w:t xml:space="preserve">he </w:t>
      </w:r>
      <w:r w:rsidR="00C00228">
        <w:t xml:space="preserve">1963 </w:t>
      </w:r>
      <w:r w:rsidR="00C33D39">
        <w:t xml:space="preserve">papal encyclical </w:t>
      </w:r>
      <w:r w:rsidR="00C33D39" w:rsidRPr="00E26063">
        <w:rPr>
          <w:i/>
          <w:iCs/>
        </w:rPr>
        <w:t>Pacem in terris</w:t>
      </w:r>
      <w:r w:rsidR="00022365">
        <w:t xml:space="preserve"> state</w:t>
      </w:r>
      <w:r w:rsidR="00E26063">
        <w:t>s</w:t>
      </w:r>
      <w:r w:rsidR="00022365">
        <w:t xml:space="preserve"> as an ideal that</w:t>
      </w:r>
      <w:r w:rsidR="00A85219">
        <w:t xml:space="preserve"> each person in civic society, and their neighbour, 'recognize[</w:t>
      </w:r>
      <w:r w:rsidR="00E26063">
        <w:t>s</w:t>
      </w:r>
      <w:r w:rsidR="00A85219">
        <w:t>] both his rights and his obligations toward others</w:t>
      </w:r>
      <w:r w:rsidR="002C4489">
        <w:t>' and</w:t>
      </w:r>
      <w:r w:rsidR="00146931">
        <w:t>,</w:t>
      </w:r>
      <w:r w:rsidR="002C4489">
        <w:t xml:space="preserve"> 'guided by justice, apply themselves seriously to respecting the rights of others and discharging their own duties'</w:t>
      </w:r>
      <w:r w:rsidR="00532AB3">
        <w:rPr>
          <w:rStyle w:val="FootnoteReference"/>
        </w:rPr>
        <w:footnoteReference w:id="8"/>
      </w:r>
      <w:r w:rsidR="008104C8">
        <w:t>.</w:t>
      </w:r>
    </w:p>
    <w:p w14:paraId="33335D6C" w14:textId="639B8349" w:rsidR="006A7673" w:rsidRDefault="00A44B76" w:rsidP="006A7673">
      <w:pPr>
        <w:pStyle w:val="NormalHC"/>
      </w:pPr>
      <w:r>
        <w:lastRenderedPageBreak/>
        <w:tab/>
      </w:r>
      <w:r w:rsidR="00E55B3E">
        <w:t>In the United States, the American Federa</w:t>
      </w:r>
      <w:r w:rsidR="006A7673">
        <w:t>tion of Teachers</w:t>
      </w:r>
      <w:r w:rsidR="00E55B3E">
        <w:t xml:space="preserve"> </w:t>
      </w:r>
      <w:r w:rsidR="008D5CF8">
        <w:t>suggested</w:t>
      </w:r>
      <w:r w:rsidR="006A7673">
        <w:t xml:space="preserve"> the importance and nature of civic education in a liberal democrac</w:t>
      </w:r>
      <w:r w:rsidR="008D5CF8">
        <w:t>y in the following terms</w:t>
      </w:r>
      <w:r w:rsidR="002E3445">
        <w:t>:</w:t>
      </w:r>
    </w:p>
    <w:p w14:paraId="5493CA94" w14:textId="77777777" w:rsidR="006A7673" w:rsidRDefault="006A7673" w:rsidP="002E3445">
      <w:pPr>
        <w:pStyle w:val="LRIndentafterHC"/>
      </w:pPr>
      <w:r>
        <w:t>"Democracy’s survival depends upon our transmitting to each new generation the political vision of liberty and equality that unites us… Such values are neither revealed truths nor natural habits. There is no evidence that we are born with them. Devotion to human dignity and freedom, to equal rights, to social and economic justice, to the rule of law, to civility and truth, to tolerance of diversity, to mutual assistance, to personal and civic responsibility, to self-restraint and self-respect— all these must be taught and learned."</w:t>
      </w:r>
      <w:r>
        <w:rPr>
          <w:rStyle w:val="FootnoteReference"/>
        </w:rPr>
        <w:footnoteReference w:id="9"/>
      </w:r>
    </w:p>
    <w:p w14:paraId="1B4F570F" w14:textId="77777777" w:rsidR="002E3445" w:rsidRPr="002E3445" w:rsidRDefault="002E3445" w:rsidP="002E3445">
      <w:pPr>
        <w:pStyle w:val="leftright"/>
      </w:pPr>
    </w:p>
    <w:p w14:paraId="67A827B9" w14:textId="5912DE7D" w:rsidR="006A7673" w:rsidRDefault="00345730" w:rsidP="00861FA9">
      <w:pPr>
        <w:pStyle w:val="NormalHC"/>
      </w:pPr>
      <w:r>
        <w:tab/>
      </w:r>
      <w:r w:rsidR="00E84935">
        <w:t>The link between civic education</w:t>
      </w:r>
      <w:r w:rsidR="005C6F87">
        <w:t xml:space="preserve"> and democratic survival goes back to</w:t>
      </w:r>
      <w:r w:rsidR="00E84935">
        <w:t xml:space="preserve"> Aristotle</w:t>
      </w:r>
      <w:r w:rsidR="006A7673">
        <w:rPr>
          <w:rStyle w:val="FootnoteReference"/>
        </w:rPr>
        <w:footnoteReference w:id="10"/>
      </w:r>
      <w:r w:rsidR="008104C8">
        <w:t>.</w:t>
      </w:r>
      <w:r w:rsidR="006A7673">
        <w:t xml:space="preserve"> At a time when </w:t>
      </w:r>
      <w:r w:rsidR="002D2290">
        <w:t xml:space="preserve">there is good reason to think that </w:t>
      </w:r>
      <w:r w:rsidR="006A7673">
        <w:t>democracy around the world is imperilled</w:t>
      </w:r>
      <w:r w:rsidR="0017045F">
        <w:rPr>
          <w:rStyle w:val="FootnoteReference"/>
        </w:rPr>
        <w:footnoteReference w:id="11"/>
      </w:r>
      <w:r w:rsidR="008104C8">
        <w:t>,</w:t>
      </w:r>
      <w:r w:rsidR="006A7673">
        <w:t xml:space="preserve"> civic education in our shared liberal democratic values has a renewed importance.</w:t>
      </w:r>
    </w:p>
    <w:p w14:paraId="1BF72470" w14:textId="1A9FA468" w:rsidR="00A613A5" w:rsidRDefault="00345730" w:rsidP="00A613A5">
      <w:pPr>
        <w:pStyle w:val="NormalHC"/>
      </w:pPr>
      <w:r>
        <w:tab/>
      </w:r>
      <w:r w:rsidR="00E51D88">
        <w:t>While democracy is healthy in Australia, t</w:t>
      </w:r>
      <w:r w:rsidR="00A613A5">
        <w:t xml:space="preserve">he results of the Australian National University's Australian Election Study, conducted in 2019, suggest that trust in Australian government has fallen to its </w:t>
      </w:r>
      <w:r w:rsidR="00A613A5">
        <w:lastRenderedPageBreak/>
        <w:t>lowest level since the study's inception in 1969</w:t>
      </w:r>
      <w:r w:rsidR="00A613A5">
        <w:rPr>
          <w:rStyle w:val="FootnoteReference"/>
        </w:rPr>
        <w:footnoteReference w:id="12"/>
      </w:r>
      <w:r w:rsidR="00A613A5">
        <w:t xml:space="preserve">. The study also found, on the basis of voter responses, that satisfaction with democracy in Australia is at its lowest level (59%) since the constitutional crisis of </w:t>
      </w:r>
      <w:r w:rsidR="002942FE">
        <w:t>1975</w:t>
      </w:r>
      <w:r w:rsidR="00F7380F">
        <w:rPr>
          <w:rStyle w:val="FootnoteReference"/>
        </w:rPr>
        <w:footnoteReference w:id="13"/>
      </w:r>
      <w:r w:rsidR="008104C8">
        <w:t>.</w:t>
      </w:r>
      <w:r w:rsidR="00A613A5">
        <w:t xml:space="preserve"> </w:t>
      </w:r>
      <w:r w:rsidR="00A7343D">
        <w:t>As former New South Wales Chief Justice Bathurst said last year, "[t]he judiciary must take this decline in public trust seriously"</w:t>
      </w:r>
      <w:r w:rsidR="00A7343D">
        <w:rPr>
          <w:rStyle w:val="FootnoteReference"/>
        </w:rPr>
        <w:footnoteReference w:id="14"/>
      </w:r>
      <w:r w:rsidR="00A7343D">
        <w:t>.</w:t>
      </w:r>
    </w:p>
    <w:p w14:paraId="2C6B436E" w14:textId="6BD2E900" w:rsidR="00345730" w:rsidRDefault="00A44B76" w:rsidP="00345730">
      <w:pPr>
        <w:pStyle w:val="NormalHC"/>
      </w:pPr>
      <w:r>
        <w:tab/>
      </w:r>
      <w:r w:rsidR="00345730">
        <w:t xml:space="preserve">Meanwhile, </w:t>
      </w:r>
      <w:r w:rsidR="00785D80">
        <w:t xml:space="preserve">also </w:t>
      </w:r>
      <w:r w:rsidR="00345730">
        <w:t>in 2021, the Australian Curriculum Assessment and Reporting Authority published the results of the latest National Assessment Program testing of Australian high school students on the topic of Civics and Citizenship. That report records that only 38 per cent of Year 10 students and 53 per cent of Year 6 students reached the "proficient" standard on issues of civics and participatory citizenship</w:t>
      </w:r>
      <w:r w:rsidR="00345730">
        <w:rPr>
          <w:rStyle w:val="FootnoteReference"/>
        </w:rPr>
        <w:footnoteReference w:id="15"/>
      </w:r>
      <w:r w:rsidR="00345730">
        <w:t xml:space="preserve">, suggesting that students' understanding </w:t>
      </w:r>
      <w:r w:rsidR="00345730">
        <w:lastRenderedPageBreak/>
        <w:t>of Australian democracy and government has "plateaued", or even declined, compared to previous years</w:t>
      </w:r>
      <w:r w:rsidR="00345730">
        <w:rPr>
          <w:rStyle w:val="FootnoteReference"/>
        </w:rPr>
        <w:footnoteReference w:id="16"/>
      </w:r>
      <w:r w:rsidR="00345730">
        <w:t xml:space="preserve">. </w:t>
      </w:r>
    </w:p>
    <w:p w14:paraId="3FADF4CA" w14:textId="6D8DD96E" w:rsidR="00A613A5" w:rsidRDefault="00A44B76" w:rsidP="00D9451B">
      <w:pPr>
        <w:pStyle w:val="NormalHC"/>
      </w:pPr>
      <w:r>
        <w:tab/>
      </w:r>
      <w:r w:rsidR="00F658EA">
        <w:t>T</w:t>
      </w:r>
      <w:r w:rsidR="00FF76D3">
        <w:t xml:space="preserve">hese statistics suggest that there is </w:t>
      </w:r>
      <w:r w:rsidR="003F7390">
        <w:t xml:space="preserve">ample </w:t>
      </w:r>
      <w:r w:rsidR="00FF76D3">
        <w:t xml:space="preserve">room for the courts </w:t>
      </w:r>
      <w:r w:rsidR="001F567F">
        <w:t xml:space="preserve">and the judiciary </w:t>
      </w:r>
      <w:r w:rsidR="00FF76D3">
        <w:t xml:space="preserve">to assist with the education of our </w:t>
      </w:r>
      <w:r w:rsidR="007D2C2B">
        <w:t>young people</w:t>
      </w:r>
      <w:r w:rsidR="00ED57CE">
        <w:t xml:space="preserve"> about the courts and the court system,</w:t>
      </w:r>
      <w:r w:rsidR="00FF76D3">
        <w:t xml:space="preserve"> in the interests of liberal democracy.</w:t>
      </w:r>
    </w:p>
    <w:p w14:paraId="1AFF4E12" w14:textId="3D50850D" w:rsidR="00E51D88" w:rsidRDefault="00E51D88" w:rsidP="00E51D88">
      <w:pPr>
        <w:pStyle w:val="HeadingL1"/>
      </w:pPr>
      <w:r>
        <w:t>Court education as an aspect of civic education</w:t>
      </w:r>
    </w:p>
    <w:p w14:paraId="3908D9B2" w14:textId="22DD7852" w:rsidR="006A7673" w:rsidRDefault="00A44B76" w:rsidP="006A7673">
      <w:pPr>
        <w:pStyle w:val="NormalHC"/>
      </w:pPr>
      <w:r>
        <w:tab/>
      </w:r>
      <w:r w:rsidR="007765CA">
        <w:t>One</w:t>
      </w:r>
      <w:r w:rsidR="006A6E86">
        <w:t xml:space="preserve"> </w:t>
      </w:r>
      <w:r w:rsidR="006A7673">
        <w:t xml:space="preserve">component of civic education </w:t>
      </w:r>
      <w:r w:rsidR="00861FA9">
        <w:t>concerns</w:t>
      </w:r>
      <w:r w:rsidR="006A7673">
        <w:t xml:space="preserve"> </w:t>
      </w:r>
      <w:r w:rsidR="006A6E86">
        <w:t>our</w:t>
      </w:r>
      <w:r w:rsidR="006A7673">
        <w:t xml:space="preserve"> system of government. </w:t>
      </w:r>
      <w:r w:rsidR="00093606">
        <w:t>That system</w:t>
      </w:r>
      <w:r w:rsidR="006A7673">
        <w:t xml:space="preserve"> empowers its citizens with ultimate, albeit institutionally mediated, control over the laws </w:t>
      </w:r>
      <w:r w:rsidR="00B03522">
        <w:t>by which the community lives.</w:t>
      </w:r>
      <w:r w:rsidR="006A7673">
        <w:t xml:space="preserve"> </w:t>
      </w:r>
      <w:r w:rsidR="00A1443B">
        <w:t>Without sufficient awareness</w:t>
      </w:r>
      <w:r w:rsidR="006A7673">
        <w:t xml:space="preserve"> of the </w:t>
      </w:r>
      <w:r w:rsidR="006A5F32">
        <w:t xml:space="preserve">basic </w:t>
      </w:r>
      <w:r w:rsidR="007B788D">
        <w:t>structure of our system of government</w:t>
      </w:r>
      <w:r w:rsidR="006A7673">
        <w:t xml:space="preserve"> and the ideals it is built to serve, citizens cannot be expected to participate effectively in the institutions of government. And they cannot be expected to keep the institutions accountable and in good health, and to defend them, as the citizenry in a democracy is depended upon to do.</w:t>
      </w:r>
    </w:p>
    <w:p w14:paraId="3DD94522" w14:textId="280C6D76" w:rsidR="00BE1B50" w:rsidRDefault="008B3F7B" w:rsidP="00BE1B50">
      <w:pPr>
        <w:pStyle w:val="NormalHC"/>
      </w:pPr>
      <w:r>
        <w:tab/>
      </w:r>
      <w:r w:rsidR="00BE1B50">
        <w:t>When it comes to the elected institutions of government, how citizens</w:t>
      </w:r>
      <w:r w:rsidR="00E51D88">
        <w:t xml:space="preserve"> may</w:t>
      </w:r>
      <w:r w:rsidR="00BE1B50">
        <w:t xml:space="preserve"> participate</w:t>
      </w:r>
      <w:r w:rsidR="00E51D88">
        <w:t xml:space="preserve"> is clear</w:t>
      </w:r>
      <w:r w:rsidR="00BE1B50">
        <w:t>. The main forms of participation include voting at free and fair elections</w:t>
      </w:r>
      <w:r w:rsidR="00843E32">
        <w:t>;</w:t>
      </w:r>
      <w:r w:rsidR="00BE1B50">
        <w:t xml:space="preserve"> </w:t>
      </w:r>
      <w:r w:rsidR="009218F9">
        <w:t xml:space="preserve">and </w:t>
      </w:r>
      <w:r w:rsidR="00BE1B50">
        <w:t xml:space="preserve">contributing to the </w:t>
      </w:r>
      <w:r w:rsidR="00BE1B50">
        <w:lastRenderedPageBreak/>
        <w:t xml:space="preserve">public discourse that affects those elections and </w:t>
      </w:r>
      <w:r w:rsidR="002E4898">
        <w:t xml:space="preserve">that </w:t>
      </w:r>
      <w:r w:rsidR="00580204">
        <w:t xml:space="preserve">affects </w:t>
      </w:r>
      <w:r w:rsidR="00BE1B50">
        <w:t xml:space="preserve">the decisions of elected officials in between elections. Other forms of participation involve citizens taking up particular roles or offices, such as in the public service, or </w:t>
      </w:r>
      <w:r w:rsidR="006A690A">
        <w:t xml:space="preserve">as members of </w:t>
      </w:r>
      <w:r w:rsidR="00BE1B50">
        <w:t>parliament.</w:t>
      </w:r>
    </w:p>
    <w:p w14:paraId="59B32444" w14:textId="1E816B08" w:rsidR="00BE1B50" w:rsidRDefault="00A44B76" w:rsidP="00BE1B50">
      <w:pPr>
        <w:pStyle w:val="NormalHC"/>
      </w:pPr>
      <w:r>
        <w:tab/>
      </w:r>
      <w:r w:rsidR="00543CE9">
        <w:t>I</w:t>
      </w:r>
      <w:r w:rsidR="00BE1B50">
        <w:t xml:space="preserve">t is </w:t>
      </w:r>
      <w:r w:rsidR="00543CE9">
        <w:t>less</w:t>
      </w:r>
      <w:r w:rsidR="00BE1B50">
        <w:t xml:space="preserve"> obvious how citizens can be said, or expected</w:t>
      </w:r>
      <w:r w:rsidR="002E4898">
        <w:t>,</w:t>
      </w:r>
      <w:r w:rsidR="00BE1B50">
        <w:t xml:space="preserve"> to participate in the courts. </w:t>
      </w:r>
      <w:r w:rsidR="002A6B3F">
        <w:t>T</w:t>
      </w:r>
      <w:r w:rsidR="00BE1B50">
        <w:t>here is a sense in which citizens will rightly want to stay away from the courts. "Stay out of court" is generally good life advice.</w:t>
      </w:r>
      <w:r w:rsidR="00AF70A5">
        <w:t xml:space="preserve"> Of course</w:t>
      </w:r>
      <w:r w:rsidR="000761E0">
        <w:t>, t</w:t>
      </w:r>
      <w:r w:rsidR="00BE1B50">
        <w:t xml:space="preserve">he performance of jury duties is vital to liberty </w:t>
      </w:r>
      <w:r>
        <w:t>–</w:t>
      </w:r>
      <w:r w:rsidR="00BE1B50">
        <w:t xml:space="preserve"> and so it has for centuries been described as the </w:t>
      </w:r>
      <w:r>
        <w:t>"</w:t>
      </w:r>
      <w:r w:rsidR="00BE1B50">
        <w:t>palladium of liberty</w:t>
      </w:r>
      <w:r>
        <w:t>"</w:t>
      </w:r>
      <w:r w:rsidR="00E51D88">
        <w:rPr>
          <w:rStyle w:val="FootnoteReference"/>
        </w:rPr>
        <w:footnoteReference w:id="17"/>
      </w:r>
      <w:r w:rsidR="00BE1B50">
        <w:t>. But the duty to participate as a juror comes rarely, sometimes late, and sometimes never, in a person's life. One can of course also participate in the courts by becoming a member of the legal profession. But</w:t>
      </w:r>
      <w:r w:rsidR="00E51D88">
        <w:t xml:space="preserve"> again,</w:t>
      </w:r>
      <w:r w:rsidR="00BE1B50">
        <w:t xml:space="preserve"> that profession </w:t>
      </w:r>
      <w:r w:rsidR="008D5AC3">
        <w:t>comprises only</w:t>
      </w:r>
      <w:r w:rsidR="00BE1B50">
        <w:t xml:space="preserve"> a small segment of our community.</w:t>
      </w:r>
    </w:p>
    <w:p w14:paraId="5961EA5E" w14:textId="6D1A2997" w:rsidR="00BE1B50" w:rsidRDefault="00A44B76" w:rsidP="00BE1B50">
      <w:pPr>
        <w:pStyle w:val="NormalHC"/>
      </w:pPr>
      <w:r>
        <w:tab/>
      </w:r>
      <w:r w:rsidR="00BE1B50">
        <w:t>There is however a very broad sense in which all citizens</w:t>
      </w:r>
      <w:r w:rsidR="00635BFE">
        <w:t xml:space="preserve"> can</w:t>
      </w:r>
      <w:r w:rsidR="00BE1B50">
        <w:t xml:space="preserve"> participate in the proper functioning of our courts, and in upholding </w:t>
      </w:r>
      <w:r w:rsidR="00356C65">
        <w:t xml:space="preserve">the </w:t>
      </w:r>
      <w:r w:rsidR="00BE1B50">
        <w:t xml:space="preserve">rule of law. </w:t>
      </w:r>
      <w:r w:rsidR="00A44C7A">
        <w:t xml:space="preserve">Controlling </w:t>
      </w:r>
      <w:r w:rsidR="00BE1B50">
        <w:t>neither the purse nor the sword</w:t>
      </w:r>
      <w:r w:rsidR="00167D04">
        <w:rPr>
          <w:rStyle w:val="FootnoteReference"/>
        </w:rPr>
        <w:footnoteReference w:id="18"/>
      </w:r>
      <w:r w:rsidR="00BE1B50">
        <w:t>, in our system of government</w:t>
      </w:r>
      <w:r w:rsidR="00A44C7A">
        <w:t xml:space="preserve">, </w:t>
      </w:r>
      <w:r w:rsidR="00AF6A1D">
        <w:t>t</w:t>
      </w:r>
      <w:r w:rsidR="00BE1B50">
        <w:t xml:space="preserve">he </w:t>
      </w:r>
      <w:r w:rsidR="00451F63">
        <w:t>strength</w:t>
      </w:r>
      <w:r w:rsidR="00E51D88">
        <w:t xml:space="preserve"> of the </w:t>
      </w:r>
      <w:r w:rsidR="00BE1B50">
        <w:t>courts derives ultimately from their perceived legitimacy</w:t>
      </w:r>
      <w:r w:rsidR="00105323">
        <w:t xml:space="preserve"> in the exercise of judicial power</w:t>
      </w:r>
      <w:r w:rsidR="00BE1B50">
        <w:t xml:space="preserve">. </w:t>
      </w:r>
      <w:r w:rsidR="00E431A9">
        <w:t>T</w:t>
      </w:r>
      <w:r w:rsidR="00BE1B50">
        <w:t xml:space="preserve">hat legitimacy is a function of how the general </w:t>
      </w:r>
      <w:r w:rsidR="00F62D74">
        <w:t>community</w:t>
      </w:r>
      <w:r w:rsidR="00BE1B50">
        <w:t xml:space="preserve"> view</w:t>
      </w:r>
      <w:r w:rsidR="00E51D88">
        <w:t>s</w:t>
      </w:r>
      <w:r w:rsidR="00BE1B50">
        <w:t xml:space="preserve"> the </w:t>
      </w:r>
      <w:r w:rsidR="00BE1B50">
        <w:lastRenderedPageBreak/>
        <w:t>courts.</w:t>
      </w:r>
      <w:r w:rsidR="00EF564F">
        <w:t xml:space="preserve"> Citizens </w:t>
      </w:r>
      <w:r w:rsidR="0089638F">
        <w:t xml:space="preserve">legitimate the court when they </w:t>
      </w:r>
      <w:r w:rsidR="00EF564F">
        <w:t>respect t</w:t>
      </w:r>
      <w:r w:rsidR="0089638F">
        <w:t>hem</w:t>
      </w:r>
      <w:r w:rsidR="00EF564F">
        <w:t xml:space="preserve"> as institutions, and </w:t>
      </w:r>
      <w:r w:rsidR="0089638F">
        <w:t xml:space="preserve">when they respect and obey court </w:t>
      </w:r>
      <w:r w:rsidR="007044FE">
        <w:t>orders</w:t>
      </w:r>
      <w:r w:rsidR="0089638F">
        <w:t>.</w:t>
      </w:r>
    </w:p>
    <w:p w14:paraId="1DA98B44" w14:textId="4CEB450A" w:rsidR="00E26063" w:rsidRDefault="00A44B76" w:rsidP="00BE1B50">
      <w:pPr>
        <w:pStyle w:val="NormalHC"/>
      </w:pPr>
      <w:r>
        <w:tab/>
      </w:r>
      <w:r w:rsidR="00BE1B50">
        <w:t xml:space="preserve">In </w:t>
      </w:r>
      <w:r w:rsidR="005114C0">
        <w:t>Australia</w:t>
      </w:r>
      <w:r w:rsidR="00BE1B50">
        <w:t xml:space="preserve">, we have a healthy culture of respect for court </w:t>
      </w:r>
      <w:r w:rsidR="007044FE">
        <w:t>judgments and orders</w:t>
      </w:r>
      <w:r w:rsidR="00BE1B50">
        <w:t xml:space="preserve">. But it is important </w:t>
      </w:r>
      <w:r w:rsidR="00655911">
        <w:t xml:space="preserve">not to take that </w:t>
      </w:r>
      <w:r w:rsidR="00102926">
        <w:t>culture of respect for granted</w:t>
      </w:r>
      <w:r w:rsidR="00BE1B50">
        <w:t xml:space="preserve">. Within the general public, what needs to be maintained is a diffuse understanding of the importance of the rule of law, and the </w:t>
      </w:r>
      <w:r w:rsidR="00BA3428">
        <w:t>role</w:t>
      </w:r>
      <w:r w:rsidR="00BE1B50">
        <w:t xml:space="preserve"> of the courts in administering it. What needs constantly</w:t>
      </w:r>
      <w:r w:rsidR="009E0658">
        <w:t xml:space="preserve"> to</w:t>
      </w:r>
      <w:r w:rsidR="00BE1B50">
        <w:t xml:space="preserve"> be </w:t>
      </w:r>
      <w:r w:rsidR="009E0658" w:rsidRPr="00167D04">
        <w:t xml:space="preserve">demonstrated </w:t>
      </w:r>
      <w:r w:rsidR="000D0177" w:rsidRPr="00167D04">
        <w:t>to and accepted by</w:t>
      </w:r>
      <w:r w:rsidR="000D0177">
        <w:rPr>
          <w:i/>
          <w:iCs/>
        </w:rPr>
        <w:t xml:space="preserve"> </w:t>
      </w:r>
      <w:r w:rsidR="000D0177">
        <w:t xml:space="preserve">the broader community </w:t>
      </w:r>
      <w:r w:rsidR="001A576E">
        <w:t xml:space="preserve">is </w:t>
      </w:r>
      <w:r w:rsidR="00BE1B50">
        <w:t>that the courts are fulfilling their functions well</w:t>
      </w:r>
      <w:r w:rsidR="001A576E">
        <w:t>, by delivering justice according to law</w:t>
      </w:r>
      <w:r w:rsidR="00BE1B50">
        <w:t xml:space="preserve">. </w:t>
      </w:r>
      <w:r w:rsidR="004C0CFF">
        <w:t xml:space="preserve">If courts are not fulfilling their functions well, </w:t>
      </w:r>
      <w:r w:rsidR="00E53D8D">
        <w:t>it is also critical that the community be duly informed.</w:t>
      </w:r>
    </w:p>
    <w:p w14:paraId="35E9070D" w14:textId="23C7EE4F" w:rsidR="00BE1B50" w:rsidRDefault="00A44B76" w:rsidP="00BE1B50">
      <w:pPr>
        <w:pStyle w:val="NormalHC"/>
      </w:pPr>
      <w:r>
        <w:tab/>
      </w:r>
      <w:r w:rsidR="00456734">
        <w:t xml:space="preserve">An important way that the courts demonstrate their legitimacy is by conducting their proceedings in public. Another way is by publishing reasons for judicial decisions. But most members of the community do not </w:t>
      </w:r>
      <w:r w:rsidR="00D758C1">
        <w:t xml:space="preserve">have the time to </w:t>
      </w:r>
      <w:r w:rsidR="00456734">
        <w:t xml:space="preserve">come along to courts to observe their operation. If they do, </w:t>
      </w:r>
      <w:r w:rsidR="00345730">
        <w:t xml:space="preserve">they may find the </w:t>
      </w:r>
      <w:r w:rsidR="00456734">
        <w:t>proceedings very hard to follow</w:t>
      </w:r>
      <w:r w:rsidR="00345730">
        <w:t>:</w:t>
      </w:r>
      <w:r w:rsidR="00456734">
        <w:t xml:space="preserve"> the issues are often complex</w:t>
      </w:r>
      <w:r>
        <w:t>,</w:t>
      </w:r>
      <w:r w:rsidR="00456734">
        <w:t xml:space="preserve"> and cases are generally not conducted with an eye to explaining the process to </w:t>
      </w:r>
      <w:r w:rsidR="00345730">
        <w:t>any</w:t>
      </w:r>
      <w:r w:rsidR="00456734">
        <w:t xml:space="preserve"> lay observer</w:t>
      </w:r>
      <w:r w:rsidR="00345730">
        <w:t>s</w:t>
      </w:r>
      <w:r w:rsidR="00456734">
        <w:t xml:space="preserve">. For similar reasons, even though </w:t>
      </w:r>
      <w:r w:rsidR="004B4202">
        <w:t xml:space="preserve">written </w:t>
      </w:r>
      <w:r w:rsidR="00456734">
        <w:t xml:space="preserve">court judgments are now widely available, they tend not to be </w:t>
      </w:r>
      <w:r w:rsidR="00A967E2">
        <w:t xml:space="preserve">readily comprehensible </w:t>
      </w:r>
      <w:r w:rsidR="00456734">
        <w:t xml:space="preserve">to the lay reader. Accepting that </w:t>
      </w:r>
      <w:r w:rsidR="00352A14">
        <w:t>more could be done</w:t>
      </w:r>
      <w:r w:rsidR="00456734">
        <w:t xml:space="preserve"> to </w:t>
      </w:r>
      <w:r w:rsidR="007B49E5">
        <w:t>address these issues</w:t>
      </w:r>
      <w:r w:rsidR="00456734">
        <w:t xml:space="preserve">, education is plainly an </w:t>
      </w:r>
      <w:r w:rsidR="007B49E5">
        <w:t xml:space="preserve">additional and </w:t>
      </w:r>
      <w:r w:rsidR="00456734">
        <w:t xml:space="preserve">important tool to </w:t>
      </w:r>
      <w:r w:rsidR="00251E94">
        <w:t xml:space="preserve">secure informed community acceptance of the </w:t>
      </w:r>
      <w:r w:rsidR="00F53497">
        <w:t>courts' legitimacy</w:t>
      </w:r>
      <w:r w:rsidR="00345730">
        <w:t>.</w:t>
      </w:r>
      <w:r w:rsidR="002C1435">
        <w:t xml:space="preserve"> To </w:t>
      </w:r>
      <w:r w:rsidR="002C1435">
        <w:lastRenderedPageBreak/>
        <w:t>my mind, an important goal of court education must be to demonstrate the exercise of judicial power, so that students may consider the legitimacy of judicial power.</w:t>
      </w:r>
    </w:p>
    <w:p w14:paraId="4FA0A2F3" w14:textId="4C342698" w:rsidR="00B2616C" w:rsidRDefault="00A44B76" w:rsidP="00456734">
      <w:pPr>
        <w:pStyle w:val="NormalHC"/>
      </w:pPr>
      <w:r>
        <w:tab/>
      </w:r>
      <w:r w:rsidR="00B2616C">
        <w:t>Court e</w:t>
      </w:r>
      <w:r w:rsidR="00457DC7">
        <w:t>ducation in the legal system</w:t>
      </w:r>
      <w:r w:rsidR="00BE1B50">
        <w:t xml:space="preserve"> </w:t>
      </w:r>
      <w:r w:rsidR="009B74A2">
        <w:t>dovetail</w:t>
      </w:r>
      <w:r w:rsidR="00B2616C">
        <w:t>s</w:t>
      </w:r>
      <w:r w:rsidR="009B74A2">
        <w:t xml:space="preserve"> with other aspects</w:t>
      </w:r>
      <w:r w:rsidR="00BE1B50">
        <w:t xml:space="preserve"> of a broader civic education. </w:t>
      </w:r>
      <w:r w:rsidR="00813FFC">
        <w:t>"</w:t>
      </w:r>
      <w:r w:rsidR="00154A57">
        <w:t xml:space="preserve">By understanding the </w:t>
      </w:r>
      <w:r w:rsidR="00813FFC">
        <w:t>fundamentals of the legal system, students are able to contextualise how political and governmental systems operate and support a civil society</w:t>
      </w:r>
      <w:r>
        <w:t>.</w:t>
      </w:r>
      <w:r w:rsidR="00813FFC">
        <w:t>"</w:t>
      </w:r>
      <w:r w:rsidR="00813FFC">
        <w:rPr>
          <w:rStyle w:val="FootnoteReference"/>
        </w:rPr>
        <w:footnoteReference w:id="19"/>
      </w:r>
      <w:r w:rsidR="004760CD">
        <w:t xml:space="preserve"> </w:t>
      </w:r>
      <w:r w:rsidR="00E779AC">
        <w:t>Relevantly, t</w:t>
      </w:r>
      <w:r w:rsidR="004760CD">
        <w:t xml:space="preserve">he 2019 </w:t>
      </w:r>
      <w:r w:rsidR="004760CD" w:rsidRPr="000C6237">
        <w:rPr>
          <w:i/>
          <w:iCs/>
        </w:rPr>
        <w:t>Alice Springs (Mparntwe) Education Declaration</w:t>
      </w:r>
      <w:r w:rsidR="008B5EA7">
        <w:t xml:space="preserve"> </w:t>
      </w:r>
      <w:r w:rsidR="00B5696B">
        <w:t>stated</w:t>
      </w:r>
      <w:r w:rsidR="008B5EA7">
        <w:t xml:space="preserve"> </w:t>
      </w:r>
      <w:r w:rsidR="001E4433">
        <w:t xml:space="preserve">its goal </w:t>
      </w:r>
      <w:r w:rsidR="000B4447">
        <w:t xml:space="preserve">that all young </w:t>
      </w:r>
      <w:r w:rsidR="001E4433">
        <w:t>Australians</w:t>
      </w:r>
      <w:r w:rsidR="000B4447">
        <w:t xml:space="preserve"> become active and informed members of the community</w:t>
      </w:r>
      <w:r w:rsidR="005145C8">
        <w:t>, and that this</w:t>
      </w:r>
      <w:r w:rsidR="00D70BA9">
        <w:t xml:space="preserve"> would entail </w:t>
      </w:r>
      <w:r w:rsidR="00D753F7">
        <w:t>young Australians'</w:t>
      </w:r>
      <w:r w:rsidR="00D70BA9">
        <w:t xml:space="preserve"> commitment to national values of democracy, equity and justice</w:t>
      </w:r>
      <w:r w:rsidR="00373DDA">
        <w:t xml:space="preserve">. </w:t>
      </w:r>
    </w:p>
    <w:p w14:paraId="07BBF120" w14:textId="7633EDB5" w:rsidR="00154A57" w:rsidRDefault="00305123" w:rsidP="00456734">
      <w:pPr>
        <w:pStyle w:val="NormalHC"/>
      </w:pPr>
      <w:r>
        <w:tab/>
      </w:r>
      <w:r w:rsidR="007156C6">
        <w:t>Otherwise</w:t>
      </w:r>
      <w:r w:rsidR="00B25356">
        <w:t xml:space="preserve">, the following outcomes </w:t>
      </w:r>
      <w:r w:rsidR="00390D9B">
        <w:t>of court education</w:t>
      </w:r>
      <w:r w:rsidR="00292C7C">
        <w:t xml:space="preserve"> have been posited</w:t>
      </w:r>
      <w:r>
        <w:t>:</w:t>
      </w:r>
      <w:r w:rsidR="00B25356">
        <w:t xml:space="preserve"> </w:t>
      </w:r>
      <w:r>
        <w:t>an</w:t>
      </w:r>
      <w:r w:rsidR="00B25356">
        <w:t xml:space="preserve"> </w:t>
      </w:r>
      <w:r w:rsidR="003A5042">
        <w:t xml:space="preserve">ability to recognise legal issues, know about legal resources and how to access them to solve legal problems; </w:t>
      </w:r>
      <w:r w:rsidR="00E31489">
        <w:t>understanding that courts and the judiciary uphold the rule of law and are fundamental for civil society</w:t>
      </w:r>
      <w:r w:rsidR="00E36375">
        <w:t>; community support for court decisions</w:t>
      </w:r>
      <w:r w:rsidR="002C7AAD">
        <w:t xml:space="preserve">; </w:t>
      </w:r>
      <w:r w:rsidR="007A5E79">
        <w:t xml:space="preserve">and </w:t>
      </w:r>
      <w:r w:rsidR="002C7AAD">
        <w:t>skills to serve on juries.</w:t>
      </w:r>
      <w:r w:rsidR="00321979">
        <w:rPr>
          <w:rStyle w:val="FootnoteReference"/>
        </w:rPr>
        <w:footnoteReference w:id="20"/>
      </w:r>
      <w:r w:rsidR="00A40C7B">
        <w:t xml:space="preserve"> </w:t>
      </w:r>
    </w:p>
    <w:p w14:paraId="507F998A" w14:textId="345955FD" w:rsidR="00A73989" w:rsidRPr="00602B63" w:rsidRDefault="00D07FD9" w:rsidP="00273116">
      <w:pPr>
        <w:pStyle w:val="HeadingL1"/>
      </w:pPr>
      <w:r>
        <w:lastRenderedPageBreak/>
        <w:t xml:space="preserve">Education provided by </w:t>
      </w:r>
      <w:r w:rsidR="00E06F8E">
        <w:t>Australian courts</w:t>
      </w:r>
    </w:p>
    <w:p w14:paraId="07521B56" w14:textId="3C5E8B4A" w:rsidR="00E26063" w:rsidRDefault="00305123" w:rsidP="00E26063">
      <w:pPr>
        <w:pStyle w:val="NormalHC"/>
      </w:pPr>
      <w:r>
        <w:tab/>
      </w:r>
      <w:r w:rsidR="00F025BF">
        <w:t>W</w:t>
      </w:r>
      <w:r w:rsidR="00E26063">
        <w:t xml:space="preserve">hat resources </w:t>
      </w:r>
      <w:r w:rsidR="00C948AC">
        <w:t xml:space="preserve">are or </w:t>
      </w:r>
      <w:r w:rsidR="00E26063">
        <w:t xml:space="preserve">might be available for teachers charged with responsibility for court education, as an aspect of civic education? In particular, how do the courts </w:t>
      </w:r>
      <w:r w:rsidR="00600FDA">
        <w:t xml:space="preserve">and the judiciary </w:t>
      </w:r>
      <w:r w:rsidR="00E26063">
        <w:t>facilitate and provide court education?</w:t>
      </w:r>
      <w:r w:rsidR="00C53BA5">
        <w:t xml:space="preserve"> </w:t>
      </w:r>
    </w:p>
    <w:p w14:paraId="260BA473" w14:textId="3A42778F" w:rsidR="00FF1FFA" w:rsidRDefault="00305123" w:rsidP="00910B70">
      <w:pPr>
        <w:pStyle w:val="NormalHC"/>
      </w:pPr>
      <w:r>
        <w:tab/>
      </w:r>
      <w:r w:rsidR="007E7123">
        <w:t>At present, t</w:t>
      </w:r>
      <w:r w:rsidR="00D05EC8">
        <w:t xml:space="preserve">he High Court engages </w:t>
      </w:r>
      <w:r w:rsidR="002A33DD">
        <w:t>in three primary</w:t>
      </w:r>
      <w:r w:rsidR="00D05EC8">
        <w:t xml:space="preserve"> </w:t>
      </w:r>
      <w:r w:rsidR="007E7123">
        <w:t>categories</w:t>
      </w:r>
      <w:r w:rsidR="00D05EC8">
        <w:t xml:space="preserve"> of court education</w:t>
      </w:r>
      <w:r w:rsidR="002A33DD">
        <w:t xml:space="preserve">, available equally to school students and adult members of the public. </w:t>
      </w:r>
    </w:p>
    <w:p w14:paraId="7492AB58" w14:textId="50E808B7" w:rsidR="00D83C7D" w:rsidRDefault="00305123" w:rsidP="00910B70">
      <w:pPr>
        <w:pStyle w:val="NormalHC"/>
      </w:pPr>
      <w:r>
        <w:rPr>
          <w:i/>
        </w:rPr>
        <w:tab/>
      </w:r>
      <w:r w:rsidR="00532234" w:rsidRPr="007F55E2">
        <w:rPr>
          <w:i/>
        </w:rPr>
        <w:t>First</w:t>
      </w:r>
      <w:r w:rsidR="00532234">
        <w:t>, the Court conducts public education and visitor programs. Visitors are invited to tour the Court building</w:t>
      </w:r>
      <w:r w:rsidR="0091662C">
        <w:t xml:space="preserve"> </w:t>
      </w:r>
      <w:r w:rsidR="00715127">
        <w:t xml:space="preserve">in Canberra </w:t>
      </w:r>
      <w:r w:rsidR="0055199D">
        <w:t xml:space="preserve">accompanied by one or more of the </w:t>
      </w:r>
      <w:r w:rsidR="007F55E2">
        <w:t xml:space="preserve">team of trained High Court guides. </w:t>
      </w:r>
      <w:r w:rsidR="00D83C7D">
        <w:t>The guides</w:t>
      </w:r>
      <w:r w:rsidR="001D6165">
        <w:t xml:space="preserve">, many of whom have </w:t>
      </w:r>
      <w:r w:rsidR="003B647E">
        <w:t>practised as lawyers or are current law students,</w:t>
      </w:r>
      <w:r w:rsidR="00D83C7D">
        <w:t xml:space="preserve"> </w:t>
      </w:r>
      <w:r w:rsidR="001D6165">
        <w:t xml:space="preserve">provide an </w:t>
      </w:r>
      <w:r w:rsidR="00926A15">
        <w:t>informative</w:t>
      </w:r>
      <w:r w:rsidR="001D6165">
        <w:t xml:space="preserve"> overview of the role and history of the Court, and help visitors </w:t>
      </w:r>
      <w:r w:rsidR="003B647E">
        <w:t>form an appreciation of</w:t>
      </w:r>
      <w:r w:rsidR="001D6165">
        <w:t xml:space="preserve"> the unique </w:t>
      </w:r>
      <w:r w:rsidR="00723C84">
        <w:t xml:space="preserve">and symbolic </w:t>
      </w:r>
      <w:r w:rsidR="001D6165">
        <w:t>architectural, design and artistic aspects of the Court building</w:t>
      </w:r>
      <w:r w:rsidR="001D6165">
        <w:rPr>
          <w:rStyle w:val="FootnoteReference"/>
        </w:rPr>
        <w:footnoteReference w:id="21"/>
      </w:r>
      <w:r w:rsidR="001D6165">
        <w:t>.</w:t>
      </w:r>
      <w:r w:rsidR="007F4BD0">
        <w:t xml:space="preserve"> Where possible, this includes </w:t>
      </w:r>
      <w:r w:rsidR="00BC0E8C">
        <w:t>sitting in for a portion of a hearing</w:t>
      </w:r>
      <w:r w:rsidR="00B138CD">
        <w:t xml:space="preserve"> before a single Justice or the Full Court</w:t>
      </w:r>
      <w:r w:rsidR="00BC0E8C">
        <w:t>.</w:t>
      </w:r>
      <w:r w:rsidR="0031303B">
        <w:t xml:space="preserve"> The Court provides short handouts to assist visitors to understand the case before the Court.</w:t>
      </w:r>
      <w:r w:rsidR="007F55E2">
        <w:t xml:space="preserve"> Especially for school students on the east coast, a tour of the High Court will</w:t>
      </w:r>
      <w:r w:rsidR="00BD7DC7">
        <w:t xml:space="preserve"> often feature on school excursions to Canberra.</w:t>
      </w:r>
      <w:r w:rsidR="00C40EC1">
        <w:t xml:space="preserve"> </w:t>
      </w:r>
      <w:r w:rsidR="00110B1F">
        <w:t xml:space="preserve">The Parliament </w:t>
      </w:r>
      <w:r w:rsidR="00B30AE2">
        <w:t>and</w:t>
      </w:r>
      <w:r w:rsidR="00110B1F">
        <w:t xml:space="preserve"> Civics Education Rebate </w:t>
      </w:r>
      <w:r w:rsidR="00110B1F">
        <w:lastRenderedPageBreak/>
        <w:t xml:space="preserve">(PACER) programme, an initiative of the Commonwealth Government, also provides </w:t>
      </w:r>
      <w:r w:rsidR="00B30AE2">
        <w:t>financial assistance to support excursions to Canberra with a view to improving civic education</w:t>
      </w:r>
      <w:r w:rsidR="00B30AE2">
        <w:rPr>
          <w:rStyle w:val="FootnoteReference"/>
        </w:rPr>
        <w:footnoteReference w:id="22"/>
      </w:r>
      <w:r w:rsidR="00B30AE2">
        <w:t xml:space="preserve">. </w:t>
      </w:r>
      <w:r w:rsidR="00F8463E">
        <w:t>The</w:t>
      </w:r>
      <w:r w:rsidR="00B30AE2">
        <w:t xml:space="preserve"> Court's</w:t>
      </w:r>
      <w:r w:rsidR="00F8463E">
        <w:t xml:space="preserve"> </w:t>
      </w:r>
      <w:r w:rsidR="00924823">
        <w:t>student program has a particular focus on explaining the High Court’s role in the Constitution, its appellate jurisdiction, the anatomy of a case and how the Court fits into the democratic system of government.</w:t>
      </w:r>
    </w:p>
    <w:p w14:paraId="7C088590" w14:textId="55D412AA" w:rsidR="00B11593" w:rsidRDefault="00305123" w:rsidP="00910B70">
      <w:pPr>
        <w:pStyle w:val="NormalHC"/>
      </w:pPr>
      <w:r>
        <w:tab/>
      </w:r>
      <w:r w:rsidR="00127E0D">
        <w:t>Unsurprisingly, the COVID-19 pandemic resulted in a significant decline in foot traffic through the Court</w:t>
      </w:r>
      <w:r w:rsidR="00457EEF">
        <w:t>. In a typical year prior to the pandemic, the Court would receive more than 70,000 visitors, approximately half of whom were school students. In the 2020-21 financial year, however, t</w:t>
      </w:r>
      <w:r w:rsidR="005554D3">
        <w:t>hat number was reduced to 8,500, roughly 1,000 of whom were school students</w:t>
      </w:r>
      <w:r w:rsidR="005554D3">
        <w:rPr>
          <w:rStyle w:val="FootnoteReference"/>
        </w:rPr>
        <w:footnoteReference w:id="23"/>
      </w:r>
      <w:r w:rsidR="005554D3">
        <w:t>.</w:t>
      </w:r>
      <w:r w:rsidR="0003563C">
        <w:t xml:space="preserve"> While these figures are yet to be published, I understand that in the 2021-22 financial year, there was a modest increase to these figures: there were approximately 9,000 visitors, approximately 2,000 of whom were school students.</w:t>
      </w:r>
    </w:p>
    <w:p w14:paraId="0B46C929" w14:textId="63CACBEE" w:rsidR="003B647E" w:rsidRDefault="00305123" w:rsidP="007F4177">
      <w:pPr>
        <w:pStyle w:val="NormalHC"/>
      </w:pPr>
      <w:r>
        <w:tab/>
      </w:r>
      <w:r w:rsidR="007C06C9" w:rsidRPr="00943928">
        <w:rPr>
          <w:i/>
          <w:iCs/>
        </w:rPr>
        <w:t>Secondly</w:t>
      </w:r>
      <w:r w:rsidR="007C06C9">
        <w:t xml:space="preserve">, the High Court </w:t>
      </w:r>
      <w:r w:rsidR="00715127">
        <w:t>houses</w:t>
      </w:r>
      <w:r w:rsidR="007C06C9">
        <w:t xml:space="preserve"> the Australian Constitution Centre</w:t>
      </w:r>
      <w:r w:rsidR="008C6858">
        <w:t xml:space="preserve"> Exhibition</w:t>
      </w:r>
      <w:r w:rsidR="007C06C9">
        <w:t xml:space="preserve">, which is funded jointly by the Australian Government and the Constitution Education Fund, a not-for-profit </w:t>
      </w:r>
      <w:r w:rsidR="007C06C9">
        <w:lastRenderedPageBreak/>
        <w:t>organisation which aims to increase public understanding, awareness and appreciation of the Australian constitutional framework</w:t>
      </w:r>
      <w:r w:rsidR="007C06C9">
        <w:rPr>
          <w:rStyle w:val="FootnoteReference"/>
        </w:rPr>
        <w:footnoteReference w:id="24"/>
      </w:r>
      <w:r w:rsidR="007C06C9">
        <w:t>.</w:t>
      </w:r>
    </w:p>
    <w:p w14:paraId="739EA97A" w14:textId="0424FDD6" w:rsidR="00B11593" w:rsidRDefault="00305123" w:rsidP="00F025BF">
      <w:pPr>
        <w:pStyle w:val="NormalHC"/>
      </w:pPr>
      <w:r>
        <w:tab/>
      </w:r>
      <w:r w:rsidR="000360A4">
        <w:t>The Centre</w:t>
      </w:r>
      <w:r w:rsidR="00E55B59">
        <w:t>'s multimedia exhibition</w:t>
      </w:r>
      <w:r w:rsidR="000360A4">
        <w:t>, which is usually open to the public (</w:t>
      </w:r>
      <w:r w:rsidR="002625EF">
        <w:t xml:space="preserve">although presently affected by COVID-19 restrictions), is aimed at </w:t>
      </w:r>
      <w:r w:rsidR="00F00F2D">
        <w:t>school students between Years 5 and 10</w:t>
      </w:r>
      <w:r w:rsidR="00214DF8">
        <w:t xml:space="preserve"> and opened in April 2018.</w:t>
      </w:r>
      <w:r w:rsidR="00E55B59">
        <w:t xml:space="preserve"> The exhibition provides students with an introduction to the topics </w:t>
      </w:r>
      <w:r w:rsidR="002C358F">
        <w:t xml:space="preserve">covered in the Centre's teaching and learning resources, including the Australian Constitution; the six foundational constitutional principles </w:t>
      </w:r>
      <w:r w:rsidR="00D85FA8">
        <w:t xml:space="preserve">(namely, </w:t>
      </w:r>
      <w:r w:rsidR="002C358F">
        <w:t>democracy</w:t>
      </w:r>
      <w:r w:rsidR="0082656C">
        <w:t>;</w:t>
      </w:r>
      <w:r w:rsidR="002C358F">
        <w:t xml:space="preserve"> the rule of law</w:t>
      </w:r>
      <w:r w:rsidR="0082656C">
        <w:t>;</w:t>
      </w:r>
      <w:r w:rsidR="002C358F">
        <w:t xml:space="preserve"> the separation of powers</w:t>
      </w:r>
      <w:r w:rsidR="0082656C">
        <w:t>;</w:t>
      </w:r>
      <w:r w:rsidR="002C358F">
        <w:t xml:space="preserve"> federalism</w:t>
      </w:r>
      <w:r w:rsidR="0082656C">
        <w:t>;</w:t>
      </w:r>
      <w:r w:rsidR="002C358F">
        <w:t xml:space="preserve"> nationhood</w:t>
      </w:r>
      <w:r w:rsidR="0082656C">
        <w:t>;</w:t>
      </w:r>
      <w:r w:rsidR="002C358F">
        <w:t xml:space="preserve"> and rights and responsibilities); </w:t>
      </w:r>
      <w:r w:rsidR="006F3A6F">
        <w:t>our parliamentary democracy</w:t>
      </w:r>
      <w:r w:rsidR="00D85FA8">
        <w:t xml:space="preserve"> and</w:t>
      </w:r>
      <w:r w:rsidR="006F3A6F">
        <w:t xml:space="preserve"> the values underpinning the Australian constitution</w:t>
      </w:r>
      <w:r w:rsidR="006F3A6F">
        <w:rPr>
          <w:rStyle w:val="FootnoteReference"/>
        </w:rPr>
        <w:footnoteReference w:id="25"/>
      </w:r>
      <w:r w:rsidR="006F3A6F">
        <w:t xml:space="preserve">. </w:t>
      </w:r>
      <w:r w:rsidR="00B11593">
        <w:t xml:space="preserve">The Centre </w:t>
      </w:r>
      <w:r w:rsidR="002625EF">
        <w:t>has also published</w:t>
      </w:r>
      <w:r w:rsidR="00B11593">
        <w:t xml:space="preserve"> 34 </w:t>
      </w:r>
      <w:r w:rsidR="00986D82">
        <w:t xml:space="preserve">sample </w:t>
      </w:r>
      <w:r w:rsidR="00B11593">
        <w:t>lesson plans spanning Years 5-10</w:t>
      </w:r>
      <w:r w:rsidR="0032604E">
        <w:t xml:space="preserve">, </w:t>
      </w:r>
      <w:r w:rsidR="00986D82">
        <w:t xml:space="preserve">designed to complement the Australian Humanities </w:t>
      </w:r>
      <w:r w:rsidR="00683F8E">
        <w:t>and Social Sciences (HASS) curriculum</w:t>
      </w:r>
      <w:r w:rsidR="009711E7">
        <w:t>.</w:t>
      </w:r>
    </w:p>
    <w:p w14:paraId="08EC5551" w14:textId="334A6343" w:rsidR="0028327F" w:rsidRDefault="00305123" w:rsidP="00554C64">
      <w:pPr>
        <w:pStyle w:val="NormalHC"/>
      </w:pPr>
      <w:r>
        <w:rPr>
          <w:i/>
          <w:iCs/>
        </w:rPr>
        <w:tab/>
      </w:r>
      <w:r w:rsidR="00BD7DC7">
        <w:rPr>
          <w:i/>
          <w:iCs/>
        </w:rPr>
        <w:t>Thirdly</w:t>
      </w:r>
      <w:r w:rsidR="00BD7DC7">
        <w:t xml:space="preserve">, </w:t>
      </w:r>
      <w:r w:rsidR="00554C64">
        <w:t xml:space="preserve">the High Court's online resources are perhaps the </w:t>
      </w:r>
      <w:r w:rsidR="00F55182">
        <w:t>primary source of information on the work of the Court</w:t>
      </w:r>
      <w:r w:rsidR="00554C64">
        <w:t xml:space="preserve">. </w:t>
      </w:r>
      <w:r w:rsidR="0028327F">
        <w:t xml:space="preserve">While the High Court itself offers a modest number of online resources for </w:t>
      </w:r>
      <w:r w:rsidR="0028327F">
        <w:lastRenderedPageBreak/>
        <w:t>primary and secondary students</w:t>
      </w:r>
      <w:r w:rsidR="0028327F">
        <w:rPr>
          <w:rStyle w:val="FootnoteReference"/>
        </w:rPr>
        <w:footnoteReference w:id="26"/>
      </w:r>
      <w:r w:rsidR="0028327F">
        <w:t>, the remainder of its online resources are targeted at the general public.</w:t>
      </w:r>
    </w:p>
    <w:p w14:paraId="146B7124" w14:textId="47CEBEEE" w:rsidR="009E2912" w:rsidRDefault="00305123" w:rsidP="0047664B">
      <w:pPr>
        <w:pStyle w:val="NormalHC"/>
      </w:pPr>
      <w:r>
        <w:tab/>
      </w:r>
      <w:r w:rsidR="009E2912">
        <w:t xml:space="preserve">During </w:t>
      </w:r>
      <w:r w:rsidR="00355133">
        <w:t xml:space="preserve">the 2020-21 financial year, the Court saw a significant uptake of its online resources: </w:t>
      </w:r>
      <w:r w:rsidR="000F4284">
        <w:t xml:space="preserve">audio-visual recordings of Full Court hearings held in Canberra were accessed almost 37,000 times; </w:t>
      </w:r>
      <w:r w:rsidR="006D4BF4">
        <w:t xml:space="preserve">parties' written submissions were accessed some 157,000 times; the Court </w:t>
      </w:r>
      <w:r w:rsidR="009617AE">
        <w:t>surpassed</w:t>
      </w:r>
      <w:r w:rsidR="006D4BF4">
        <w:t xml:space="preserve"> 20,000 subscribers to alerts of upcoming judgments, case summaries, judgment summaries and Court publications</w:t>
      </w:r>
      <w:r w:rsidR="00F55182">
        <w:t>; and there were approximately 1.9 million visitors to the Court website</w:t>
      </w:r>
      <w:r w:rsidR="006D4BF4">
        <w:rPr>
          <w:rStyle w:val="FootnoteReference"/>
        </w:rPr>
        <w:footnoteReference w:id="27"/>
      </w:r>
      <w:r w:rsidR="006D4BF4">
        <w:t>.</w:t>
      </w:r>
    </w:p>
    <w:p w14:paraId="2F79D6D1" w14:textId="44792452" w:rsidR="002D00EC" w:rsidRDefault="00305123" w:rsidP="00425BBD">
      <w:pPr>
        <w:pStyle w:val="NormalHC"/>
      </w:pPr>
      <w:r>
        <w:tab/>
      </w:r>
      <w:r w:rsidR="008873EC">
        <w:t>Apart from</w:t>
      </w:r>
      <w:r w:rsidR="004E1B4A">
        <w:t xml:space="preserve"> the High Court, </w:t>
      </w:r>
      <w:r w:rsidR="00953484">
        <w:t xml:space="preserve">superior and statutory courts across Australia </w:t>
      </w:r>
      <w:r w:rsidR="00D27EED">
        <w:t>offer a</w:t>
      </w:r>
      <w:r w:rsidR="003E7D2F">
        <w:t>n</w:t>
      </w:r>
      <w:r w:rsidR="00D27EED">
        <w:t xml:space="preserve"> array of court education</w:t>
      </w:r>
      <w:r w:rsidR="00820A39">
        <w:t xml:space="preserve"> experiences and resources aimed specifically at school students, although in-person events have, as with the High Court, been seriously affected in recent years. </w:t>
      </w:r>
    </w:p>
    <w:p w14:paraId="5869C790" w14:textId="64C86DA6" w:rsidR="000142FE" w:rsidRDefault="00305123" w:rsidP="00D07FD9">
      <w:pPr>
        <w:pStyle w:val="NormalHC"/>
      </w:pPr>
      <w:r>
        <w:tab/>
      </w:r>
      <w:r w:rsidR="00751E77">
        <w:t xml:space="preserve">At the Commonwealth level, </w:t>
      </w:r>
      <w:r w:rsidR="00CF7203">
        <w:t xml:space="preserve">putting aside </w:t>
      </w:r>
      <w:r w:rsidR="00751E77">
        <w:t>the COVID-19 pandemic</w:t>
      </w:r>
      <w:r w:rsidR="00793891">
        <w:t>,</w:t>
      </w:r>
      <w:r w:rsidR="00751E77">
        <w:t xml:space="preserve"> the public engagement and education initiatives usually offered by the Federal Court of Australia typically </w:t>
      </w:r>
      <w:r w:rsidR="000B7EC7">
        <w:t xml:space="preserve">involve hosting </w:t>
      </w:r>
      <w:r w:rsidR="000B7EC7">
        <w:lastRenderedPageBreak/>
        <w:t xml:space="preserve">work experience students and tours, as well as </w:t>
      </w:r>
      <w:r w:rsidR="000E444D">
        <w:t>offering court resources</w:t>
      </w:r>
      <w:r w:rsidR="00D27EED">
        <w:t xml:space="preserve"> for</w:t>
      </w:r>
      <w:r w:rsidR="00F165FC">
        <w:t xml:space="preserve"> university mooting competitions</w:t>
      </w:r>
      <w:r w:rsidR="00F165FC">
        <w:rPr>
          <w:rStyle w:val="FootnoteReference"/>
        </w:rPr>
        <w:footnoteReference w:id="28"/>
      </w:r>
      <w:r w:rsidR="00F165FC">
        <w:t>.</w:t>
      </w:r>
    </w:p>
    <w:p w14:paraId="142262CA" w14:textId="23BDFF94" w:rsidR="001419CE" w:rsidRDefault="00305123" w:rsidP="0047664B">
      <w:pPr>
        <w:pStyle w:val="NormalHC"/>
      </w:pPr>
      <w:r>
        <w:tab/>
      </w:r>
      <w:r w:rsidR="00C2209D">
        <w:t>By way of example</w:t>
      </w:r>
      <w:r w:rsidR="003F069C">
        <w:t xml:space="preserve"> at the State level, i</w:t>
      </w:r>
      <w:r w:rsidR="009A1EE9">
        <w:t xml:space="preserve">n </w:t>
      </w:r>
      <w:r w:rsidR="00487080">
        <w:t>Queensland</w:t>
      </w:r>
      <w:r w:rsidR="009A1EE9">
        <w:t xml:space="preserve">, the </w:t>
      </w:r>
      <w:r w:rsidR="005407FE">
        <w:t>Sir Harry Gibbs Legal Heritage</w:t>
      </w:r>
      <w:r w:rsidR="009A1EE9">
        <w:t xml:space="preserve"> Centre</w:t>
      </w:r>
      <w:r w:rsidR="005407FE">
        <w:t>, operated by the Supreme Court of Queensland,</w:t>
      </w:r>
      <w:r w:rsidR="009A1EE9">
        <w:t xml:space="preserve"> </w:t>
      </w:r>
      <w:r w:rsidR="008672AD">
        <w:t>facilitates</w:t>
      </w:r>
      <w:r w:rsidR="001F64D4">
        <w:t xml:space="preserve"> courtroom experiences for </w:t>
      </w:r>
      <w:r w:rsidR="00DE1798">
        <w:t xml:space="preserve">over 8,500 </w:t>
      </w:r>
      <w:r w:rsidR="001F64D4">
        <w:t>school students</w:t>
      </w:r>
      <w:r w:rsidR="00DE1798">
        <w:t xml:space="preserve"> each year</w:t>
      </w:r>
      <w:r w:rsidR="001F64D4">
        <w:t xml:space="preserve">, </w:t>
      </w:r>
      <w:r w:rsidR="00DE1798">
        <w:t>and provides tailored programs to suit curricula and learning requirements</w:t>
      </w:r>
      <w:r w:rsidR="00FF084C">
        <w:rPr>
          <w:rStyle w:val="FootnoteReference"/>
        </w:rPr>
        <w:footnoteReference w:id="29"/>
      </w:r>
      <w:r w:rsidR="00FF084C">
        <w:t>.</w:t>
      </w:r>
      <w:r w:rsidR="009A1EE9">
        <w:t xml:space="preserve"> </w:t>
      </w:r>
      <w:r w:rsidR="00202CED">
        <w:t>Similar school programs</w:t>
      </w:r>
      <w:r w:rsidR="000F46F0">
        <w:t>, often (though not always)</w:t>
      </w:r>
      <w:r w:rsidR="00202CED">
        <w:t xml:space="preserve"> </w:t>
      </w:r>
      <w:r w:rsidR="00ED4D6E">
        <w:t>with accompanying resources</w:t>
      </w:r>
      <w:r w:rsidR="000F46F0">
        <w:t>,</w:t>
      </w:r>
      <w:r w:rsidR="00ED4D6E">
        <w:t xml:space="preserve"> are </w:t>
      </w:r>
      <w:r w:rsidR="005B52F4">
        <w:t>conducted</w:t>
      </w:r>
      <w:r w:rsidR="00ED4D6E">
        <w:t xml:space="preserve"> </w:t>
      </w:r>
      <w:r w:rsidR="00202CED">
        <w:t xml:space="preserve">in </w:t>
      </w:r>
      <w:r w:rsidR="00940B46">
        <w:t>every State and Territory</w:t>
      </w:r>
      <w:r w:rsidR="00940B46">
        <w:rPr>
          <w:rStyle w:val="FootnoteReference"/>
        </w:rPr>
        <w:footnoteReference w:id="30"/>
      </w:r>
      <w:r w:rsidR="00940B46">
        <w:t>.</w:t>
      </w:r>
      <w:r w:rsidR="00D954C6">
        <w:t xml:space="preserve"> In Queensland, the </w:t>
      </w:r>
      <w:r w:rsidR="00202535">
        <w:t>Supreme Court Library provides t</w:t>
      </w:r>
      <w:r w:rsidR="004971AD">
        <w:t>ailored</w:t>
      </w:r>
      <w:r w:rsidR="00202535">
        <w:t xml:space="preserve"> programs</w:t>
      </w:r>
      <w:r w:rsidR="004971AD">
        <w:t xml:space="preserve"> for student visitors, which can include </w:t>
      </w:r>
      <w:r w:rsidR="00F579D3">
        <w:t xml:space="preserve">a guided case study designed to introduce students to the art </w:t>
      </w:r>
      <w:r w:rsidR="00F579D3">
        <w:lastRenderedPageBreak/>
        <w:t>of reading a judgment</w:t>
      </w:r>
      <w:r w:rsidR="008B5C02">
        <w:t xml:space="preserve"> and an informal information session with a judge.</w:t>
      </w:r>
    </w:p>
    <w:p w14:paraId="2CC05290" w14:textId="0E71719F" w:rsidR="007C6C47" w:rsidRDefault="00305123" w:rsidP="00425BBD">
      <w:pPr>
        <w:pStyle w:val="NormalHC"/>
      </w:pPr>
      <w:r>
        <w:tab/>
      </w:r>
      <w:r w:rsidR="007C6C47">
        <w:t xml:space="preserve">Many jurisdictions also publish standalone educational resources </w:t>
      </w:r>
      <w:r w:rsidR="00B03821">
        <w:t xml:space="preserve">aimed at varying stages of primary and secondary schooling. For example, the </w:t>
      </w:r>
      <w:r w:rsidR="00193303">
        <w:t xml:space="preserve">County Court of Victoria </w:t>
      </w:r>
      <w:r w:rsidR="003B6781">
        <w:t xml:space="preserve">has published a study guide for teachers, titled </w:t>
      </w:r>
      <w:r w:rsidR="003B6781">
        <w:rPr>
          <w:i/>
          <w:iCs/>
        </w:rPr>
        <w:t>Justice in Action</w:t>
      </w:r>
      <w:r w:rsidR="003B6781">
        <w:t>, which follows two fictitious court proceedings and is designed to align with the outcomes and content of the VCE Legal Studies syllabus</w:t>
      </w:r>
      <w:r w:rsidR="003B6781">
        <w:rPr>
          <w:rStyle w:val="FootnoteReference"/>
        </w:rPr>
        <w:footnoteReference w:id="31"/>
      </w:r>
      <w:r w:rsidR="003B6781">
        <w:t>.</w:t>
      </w:r>
    </w:p>
    <w:p w14:paraId="12FF9F2C" w14:textId="531043CD" w:rsidR="009A1EE9" w:rsidRDefault="00305123" w:rsidP="0047664B">
      <w:pPr>
        <w:pStyle w:val="NormalHC"/>
      </w:pPr>
      <w:r>
        <w:tab/>
      </w:r>
      <w:r w:rsidR="00883911">
        <w:t xml:space="preserve">According to Ms Charles, </w:t>
      </w:r>
      <w:r w:rsidR="00003AF2">
        <w:t xml:space="preserve">some common characteristics of </w:t>
      </w:r>
      <w:r w:rsidR="00662F53">
        <w:t>the</w:t>
      </w:r>
      <w:r w:rsidR="00003AF2">
        <w:t xml:space="preserve"> programs</w:t>
      </w:r>
      <w:r w:rsidR="00261538">
        <w:t xml:space="preserve"> and resources offered by Australian courts</w:t>
      </w:r>
      <w:r w:rsidR="00F60001">
        <w:t xml:space="preserve"> </w:t>
      </w:r>
      <w:r w:rsidR="00003AF2">
        <w:t>includ</w:t>
      </w:r>
      <w:r w:rsidR="00F60001">
        <w:t>e</w:t>
      </w:r>
      <w:r w:rsidR="00003AF2">
        <w:t xml:space="preserve"> that they are delivered predominantly to young people</w:t>
      </w:r>
      <w:r w:rsidR="00141662">
        <w:t xml:space="preserve"> in a constructivist </w:t>
      </w:r>
      <w:r w:rsidR="00CB3ADC">
        <w:t>pedagogical approach</w:t>
      </w:r>
      <w:r w:rsidR="00003AF2">
        <w:t xml:space="preserve">; have </w:t>
      </w:r>
      <w:r w:rsidR="00BA2071">
        <w:t xml:space="preserve">(sometimes incidental) </w:t>
      </w:r>
      <w:r w:rsidR="00003AF2">
        <w:t>links to school curricula</w:t>
      </w:r>
      <w:r w:rsidR="0046666C">
        <w:rPr>
          <w:rStyle w:val="FootnoteReference"/>
        </w:rPr>
        <w:footnoteReference w:id="32"/>
      </w:r>
      <w:r w:rsidR="00003AF2">
        <w:t xml:space="preserve">; </w:t>
      </w:r>
      <w:r w:rsidR="00141662">
        <w:t xml:space="preserve">feature modes of delivery including experiential excursions and presentations; often feature accompanying teaching resources and activities; and focus on building an understanding of </w:t>
      </w:r>
      <w:r w:rsidR="00141662">
        <w:lastRenderedPageBreak/>
        <w:t xml:space="preserve">the law, courts, justice, trials, advocacy and careers in </w:t>
      </w:r>
      <w:r w:rsidR="000217FC">
        <w:t>t</w:t>
      </w:r>
      <w:r w:rsidR="00141662">
        <w:t>he legal profession</w:t>
      </w:r>
      <w:r w:rsidR="00141662">
        <w:rPr>
          <w:rStyle w:val="FootnoteReference"/>
        </w:rPr>
        <w:footnoteReference w:id="33"/>
      </w:r>
      <w:r w:rsidR="00141662">
        <w:t>.</w:t>
      </w:r>
      <w:r w:rsidR="004666F2">
        <w:t xml:space="preserve"> </w:t>
      </w:r>
    </w:p>
    <w:p w14:paraId="66C86384" w14:textId="4F8403DB" w:rsidR="00224F1B" w:rsidRDefault="00305123" w:rsidP="0047664B">
      <w:pPr>
        <w:pStyle w:val="NormalHC"/>
      </w:pPr>
      <w:r>
        <w:tab/>
      </w:r>
      <w:r w:rsidR="00515C5B">
        <w:t>Needless to say, a</w:t>
      </w:r>
      <w:r w:rsidR="004A1DC7">
        <w:t xml:space="preserve"> significant challenge for court educators is to provide content and experiences that are engaging and relevant. On the one hand, l</w:t>
      </w:r>
      <w:r w:rsidR="00224F1B">
        <w:t xml:space="preserve">aw can rapidly descend into impenetrable detail. </w:t>
      </w:r>
      <w:r w:rsidR="004A1DC7">
        <w:t>On the other,</w:t>
      </w:r>
      <w:r w:rsidR="00224F1B">
        <w:t xml:space="preserve"> even very young children have an instinctive interest in fairness and in the application of just rules </w:t>
      </w:r>
      <w:r w:rsidR="004A1DC7">
        <w:t>as protection against</w:t>
      </w:r>
      <w:r w:rsidR="00224F1B">
        <w:t xml:space="preserve"> brute power. </w:t>
      </w:r>
      <w:r w:rsidR="004A1DC7">
        <w:t xml:space="preserve">An example of a relevant and interesting resource is the </w:t>
      </w:r>
      <w:r w:rsidR="00224F1B">
        <w:t>Law Society of Western Australia's 2020 resource for teachers discussing the issue of "Kids in Jail"</w:t>
      </w:r>
      <w:r w:rsidR="0077409F">
        <w:rPr>
          <w:rStyle w:val="FootnoteReference"/>
        </w:rPr>
        <w:footnoteReference w:id="34"/>
      </w:r>
      <w:r w:rsidR="00224F1B">
        <w:t>. The topics of juvenile incarceration and the campaign to raise the age of criminal responsibility from 10 to 14</w:t>
      </w:r>
      <w:r w:rsidR="0067033F">
        <w:t xml:space="preserve"> is likely to engage an adolescent audience</w:t>
      </w:r>
      <w:r w:rsidR="00224F1B">
        <w:t xml:space="preserve">. </w:t>
      </w:r>
      <w:r w:rsidR="004A1DC7">
        <w:t>Opportunities for students to</w:t>
      </w:r>
      <w:r w:rsidR="00515C5B">
        <w:t xml:space="preserve"> meet and</w:t>
      </w:r>
      <w:r w:rsidR="004A1DC7">
        <w:t xml:space="preserve"> speak with judges and lawyers can also generate enthusiastic and thoughtful discussion.</w:t>
      </w:r>
    </w:p>
    <w:p w14:paraId="4DD36806" w14:textId="325CF3AB" w:rsidR="005672A6" w:rsidRPr="005672A6" w:rsidRDefault="005672A6" w:rsidP="00273116">
      <w:pPr>
        <w:pStyle w:val="HeadingL1"/>
      </w:pPr>
      <w:r>
        <w:lastRenderedPageBreak/>
        <w:t xml:space="preserve">The growth of informal </w:t>
      </w:r>
      <w:r w:rsidR="00BA5842">
        <w:t xml:space="preserve">and broader </w:t>
      </w:r>
      <w:r>
        <w:t>court education</w:t>
      </w:r>
    </w:p>
    <w:p w14:paraId="64A16BDE" w14:textId="37AE30ED" w:rsidR="00C611D2" w:rsidRDefault="00B36B9F" w:rsidP="003020F9">
      <w:pPr>
        <w:pStyle w:val="NormalHC"/>
      </w:pPr>
      <w:r>
        <w:tab/>
      </w:r>
      <w:r w:rsidR="00C87F9C">
        <w:t>As educators strive to provide students with a variety of learning techniques and diversify the classroom experience, modern technology has made it easier to disseminate information</w:t>
      </w:r>
      <w:r w:rsidR="00C87F9C">
        <w:rPr>
          <w:rStyle w:val="FootnoteReference"/>
        </w:rPr>
        <w:footnoteReference w:id="35"/>
      </w:r>
      <w:r w:rsidR="00C87F9C">
        <w:t>.</w:t>
      </w:r>
      <w:r w:rsidR="00C87F9C" w:rsidRPr="00C87F9C">
        <w:t xml:space="preserve"> </w:t>
      </w:r>
      <w:r w:rsidR="00C87F9C">
        <w:t>There are two relatively recent developments in the use by courts of modern technology which, to my mind, stand as examples of "informal" court education, in the sense that they are not designed to complement any particular school curriculum and are offered to the general public, and provide educators with alternative and innovative education resources.</w:t>
      </w:r>
    </w:p>
    <w:p w14:paraId="0A765057" w14:textId="77777777" w:rsidR="00DE583D" w:rsidRDefault="00B36B9F" w:rsidP="00A45AD1">
      <w:pPr>
        <w:pStyle w:val="NormalHC"/>
      </w:pPr>
      <w:r>
        <w:tab/>
      </w:r>
      <w:r w:rsidR="00E14307">
        <w:t xml:space="preserve">The </w:t>
      </w:r>
      <w:r w:rsidR="00E14307" w:rsidRPr="00010FBD">
        <w:rPr>
          <w:i/>
          <w:iCs/>
        </w:rPr>
        <w:t>first</w:t>
      </w:r>
      <w:r w:rsidR="00E14307">
        <w:t xml:space="preserve"> development is the court-sponsored podcast</w:t>
      </w:r>
      <w:r w:rsidR="006D7FB8">
        <w:t>.</w:t>
      </w:r>
      <w:r w:rsidR="00EE324C">
        <w:t xml:space="preserve"> Good podcasts can be accessible, informative and entertaining. </w:t>
      </w:r>
      <w:r w:rsidR="006D7FB8">
        <w:t>B</w:t>
      </w:r>
      <w:r w:rsidR="00E14307">
        <w:t xml:space="preserve">etween 2019 and 2021, for example, the Supreme Court of Victoria authorised the production of </w:t>
      </w:r>
      <w:r w:rsidR="00E14307" w:rsidRPr="00010FBD">
        <w:rPr>
          <w:i/>
          <w:iCs/>
        </w:rPr>
        <w:t>Gertie's Law</w:t>
      </w:r>
      <w:r w:rsidR="00E14307">
        <w:t>, a podcast featuring stories of historic cases, interviews with judicial officers and court staff, and the operation of the justice system in that State</w:t>
      </w:r>
      <w:r w:rsidR="00E14307">
        <w:rPr>
          <w:rStyle w:val="FootnoteReference"/>
        </w:rPr>
        <w:footnoteReference w:id="36"/>
      </w:r>
      <w:r w:rsidR="00E14307">
        <w:t xml:space="preserve">. In shorter form, in May 2021, to mark the 40th anniversary of the </w:t>
      </w:r>
      <w:r w:rsidR="00E14307">
        <w:lastRenderedPageBreak/>
        <w:t>Court building, the High Court published a four-part oral history of the Court</w:t>
      </w:r>
      <w:r w:rsidR="00E14307">
        <w:rPr>
          <w:rStyle w:val="FootnoteReference"/>
        </w:rPr>
        <w:footnoteReference w:id="37"/>
      </w:r>
      <w:r w:rsidR="00E14307">
        <w:t>.</w:t>
      </w:r>
      <w:r w:rsidR="00ED3F3D">
        <w:t xml:space="preserve"> </w:t>
      </w:r>
    </w:p>
    <w:p w14:paraId="17EBAA40" w14:textId="77C3E35C" w:rsidR="00E14307" w:rsidRDefault="00DE583D" w:rsidP="00A45AD1">
      <w:pPr>
        <w:pStyle w:val="NormalHC"/>
      </w:pPr>
      <w:r>
        <w:tab/>
      </w:r>
      <w:r w:rsidR="00F90F7C">
        <w:t>T</w:t>
      </w:r>
      <w:r w:rsidR="00940A4F">
        <w:t xml:space="preserve">here are also </w:t>
      </w:r>
      <w:r w:rsidR="00A9260C">
        <w:t>excellent</w:t>
      </w:r>
      <w:r w:rsidR="00ED3F3D">
        <w:t xml:space="preserve"> </w:t>
      </w:r>
      <w:r w:rsidR="007733C7">
        <w:t xml:space="preserve">educative </w:t>
      </w:r>
      <w:r w:rsidR="00ED3F3D">
        <w:t xml:space="preserve">podcasts </w:t>
      </w:r>
      <w:r w:rsidR="009954E6">
        <w:t>about law and justice</w:t>
      </w:r>
      <w:r w:rsidR="00E0535C">
        <w:t xml:space="preserve"> </w:t>
      </w:r>
      <w:r w:rsidR="00940A4F">
        <w:t xml:space="preserve">published by </w:t>
      </w:r>
      <w:r w:rsidR="00135D55">
        <w:t xml:space="preserve">others apart from courts. </w:t>
      </w:r>
      <w:r w:rsidR="00010FBD">
        <w:t>T</w:t>
      </w:r>
      <w:r w:rsidR="00365731">
        <w:t>hese include</w:t>
      </w:r>
      <w:r w:rsidR="00010FBD">
        <w:t xml:space="preserve"> </w:t>
      </w:r>
      <w:r w:rsidR="00997292">
        <w:t xml:space="preserve">the </w:t>
      </w:r>
      <w:r w:rsidR="00952488">
        <w:t xml:space="preserve">ABC's </w:t>
      </w:r>
      <w:r w:rsidR="00997292" w:rsidRPr="00010FBD">
        <w:rPr>
          <w:i/>
          <w:iCs/>
        </w:rPr>
        <w:t xml:space="preserve">Section 71 </w:t>
      </w:r>
      <w:r w:rsidR="00997292">
        <w:t>podcasts</w:t>
      </w:r>
      <w:r w:rsidR="00AD5D18">
        <w:rPr>
          <w:rStyle w:val="FootnoteReference"/>
        </w:rPr>
        <w:footnoteReference w:id="38"/>
      </w:r>
      <w:r w:rsidR="00997292">
        <w:t xml:space="preserve"> </w:t>
      </w:r>
      <w:r w:rsidR="00042F85">
        <w:t>about notable decisions</w:t>
      </w:r>
      <w:r w:rsidR="008623A1">
        <w:t xml:space="preserve"> </w:t>
      </w:r>
      <w:r w:rsidR="00957515">
        <w:t>of the High Court</w:t>
      </w:r>
      <w:r w:rsidR="00C75A74">
        <w:t>,</w:t>
      </w:r>
      <w:r w:rsidR="00957515">
        <w:t xml:space="preserve"> </w:t>
      </w:r>
      <w:r w:rsidR="008623A1">
        <w:t xml:space="preserve">hosted by now Dean of the </w:t>
      </w:r>
      <w:r w:rsidR="0008297A">
        <w:t xml:space="preserve">St Thomas More Law School at the </w:t>
      </w:r>
      <w:r w:rsidR="008623A1">
        <w:t xml:space="preserve">Australian Catholic University, Professor Patrick </w:t>
      </w:r>
      <w:r w:rsidR="00235B4C">
        <w:t>Keyzer</w:t>
      </w:r>
      <w:r w:rsidR="008623A1">
        <w:t>;</w:t>
      </w:r>
      <w:r w:rsidR="00042F85">
        <w:t xml:space="preserve"> </w:t>
      </w:r>
      <w:r w:rsidR="00E0535C" w:rsidRPr="00010FBD">
        <w:rPr>
          <w:i/>
          <w:iCs/>
        </w:rPr>
        <w:t>More Perfect</w:t>
      </w:r>
      <w:r w:rsidR="00987386">
        <w:t>,</w:t>
      </w:r>
      <w:r w:rsidR="00C75A74">
        <w:rPr>
          <w:rStyle w:val="FootnoteReference"/>
        </w:rPr>
        <w:footnoteReference w:id="39"/>
      </w:r>
      <w:r w:rsidR="00987386">
        <w:t xml:space="preserve"> a series about famous and infamous decisions of the Supreme Court of the United States and </w:t>
      </w:r>
      <w:r w:rsidR="00987386" w:rsidRPr="00010FBD">
        <w:rPr>
          <w:i/>
          <w:iCs/>
        </w:rPr>
        <w:t>Birds' Eye View</w:t>
      </w:r>
      <w:r w:rsidR="00987386">
        <w:t>,</w:t>
      </w:r>
      <w:r w:rsidR="00504CFE">
        <w:rPr>
          <w:rStyle w:val="FootnoteReference"/>
        </w:rPr>
        <w:footnoteReference w:id="40"/>
      </w:r>
      <w:r w:rsidR="00987386">
        <w:t xml:space="preserve"> </w:t>
      </w:r>
      <w:r w:rsidR="009954E6">
        <w:t>made by and with women in the Darwin Correctional Centre.</w:t>
      </w:r>
    </w:p>
    <w:p w14:paraId="65C233FD" w14:textId="00DC15E8" w:rsidR="00276AF5" w:rsidRDefault="00B36B9F" w:rsidP="00D07FD9">
      <w:pPr>
        <w:pStyle w:val="NormalHC"/>
      </w:pPr>
      <w:r>
        <w:tab/>
      </w:r>
      <w:r w:rsidR="00C87F9C">
        <w:t xml:space="preserve">The </w:t>
      </w:r>
      <w:r w:rsidR="00C87F9C" w:rsidRPr="00D96E67">
        <w:rPr>
          <w:i/>
          <w:iCs/>
        </w:rPr>
        <w:t>second</w:t>
      </w:r>
      <w:r w:rsidR="00C87F9C">
        <w:t xml:space="preserve"> development</w:t>
      </w:r>
      <w:r w:rsidR="00DE583D">
        <w:t xml:space="preserve"> that might be described as informal court education</w:t>
      </w:r>
      <w:r w:rsidR="00C87F9C">
        <w:t xml:space="preserve"> is the broadcast of court proceedings of significant public interest via the internet, such as on YouTube. </w:t>
      </w:r>
      <w:r w:rsidR="007244AC">
        <w:t xml:space="preserve">In this year alone, </w:t>
      </w:r>
      <w:r w:rsidR="001044F6">
        <w:t>hearings in the</w:t>
      </w:r>
      <w:r w:rsidR="007244AC">
        <w:t xml:space="preserve"> matters of </w:t>
      </w:r>
      <w:r w:rsidR="007244AC" w:rsidRPr="00D96E67">
        <w:rPr>
          <w:i/>
          <w:iCs/>
        </w:rPr>
        <w:t>Djokovic</w:t>
      </w:r>
      <w:r w:rsidR="00C23991" w:rsidRPr="00D96E67">
        <w:rPr>
          <w:i/>
          <w:iCs/>
        </w:rPr>
        <w:t xml:space="preserve"> v Minister for Immigration</w:t>
      </w:r>
      <w:r w:rsidR="009365D3" w:rsidRPr="00D96E67">
        <w:rPr>
          <w:i/>
          <w:iCs/>
        </w:rPr>
        <w:t xml:space="preserve">, Citizenship, Migrant Services and Multicultural Affairs </w:t>
      </w:r>
      <w:r w:rsidR="009365D3">
        <w:t xml:space="preserve">(in both the </w:t>
      </w:r>
      <w:r w:rsidR="009365D3">
        <w:lastRenderedPageBreak/>
        <w:t>Federal Circuit and Family Court of Australia</w:t>
      </w:r>
      <w:r w:rsidR="009365D3">
        <w:rPr>
          <w:rStyle w:val="FootnoteReference"/>
        </w:rPr>
        <w:footnoteReference w:id="41"/>
      </w:r>
      <w:r w:rsidR="009365D3">
        <w:t>, and before the Full Court of the Federal Court of Australia</w:t>
      </w:r>
      <w:r w:rsidR="009365D3">
        <w:rPr>
          <w:rStyle w:val="FootnoteReference"/>
        </w:rPr>
        <w:footnoteReference w:id="42"/>
      </w:r>
      <w:r w:rsidR="009365D3">
        <w:t>)</w:t>
      </w:r>
      <w:r w:rsidR="007244AC">
        <w:t xml:space="preserve">, </w:t>
      </w:r>
      <w:r w:rsidR="007244AC" w:rsidRPr="00D96E67">
        <w:rPr>
          <w:i/>
          <w:iCs/>
        </w:rPr>
        <w:t>Roberts-Smith</w:t>
      </w:r>
      <w:r w:rsidR="009247CC" w:rsidRPr="00D96E67">
        <w:rPr>
          <w:i/>
          <w:iCs/>
        </w:rPr>
        <w:t xml:space="preserve"> v Fairfax Media Publications Pty Ltd </w:t>
      </w:r>
      <w:r w:rsidR="009247CC">
        <w:t>(and related matters</w:t>
      </w:r>
      <w:r w:rsidR="009247CC">
        <w:rPr>
          <w:rStyle w:val="FootnoteReference"/>
        </w:rPr>
        <w:footnoteReference w:id="43"/>
      </w:r>
      <w:r w:rsidR="009247CC">
        <w:t>)</w:t>
      </w:r>
      <w:r w:rsidR="007244AC">
        <w:t xml:space="preserve"> and </w:t>
      </w:r>
      <w:r w:rsidR="00AF2F7A" w:rsidRPr="00D96E67">
        <w:rPr>
          <w:i/>
          <w:iCs/>
        </w:rPr>
        <w:t>R v Dawson</w:t>
      </w:r>
      <w:r w:rsidR="00AF2F7A" w:rsidRPr="00AF2F7A">
        <w:rPr>
          <w:rStyle w:val="FootnoteReference"/>
        </w:rPr>
        <w:footnoteReference w:id="44"/>
      </w:r>
      <w:r w:rsidR="007244AC">
        <w:t xml:space="preserve"> </w:t>
      </w:r>
      <w:r w:rsidR="001044F6">
        <w:t>collectively garnered hundreds of thousands of online viewers, both</w:t>
      </w:r>
      <w:r w:rsidR="00AB1720">
        <w:t xml:space="preserve"> within</w:t>
      </w:r>
      <w:r w:rsidR="001044F6">
        <w:t xml:space="preserve"> Australia and abroad.</w:t>
      </w:r>
      <w:r w:rsidR="008F64BC">
        <w:t xml:space="preserve"> </w:t>
      </w:r>
      <w:r w:rsidR="005D2C9F">
        <w:t xml:space="preserve">The Supreme Court of New South Wales reported in October 2021 that the Court's streams </w:t>
      </w:r>
      <w:r w:rsidR="0077558B">
        <w:t>of the "vaccine mandate" case</w:t>
      </w:r>
      <w:r w:rsidR="00544184">
        <w:t xml:space="preserve">, </w:t>
      </w:r>
      <w:r w:rsidR="00276AF5" w:rsidRPr="00D96E67">
        <w:rPr>
          <w:i/>
          <w:iCs/>
        </w:rPr>
        <w:t>Kassam</w:t>
      </w:r>
      <w:r w:rsidR="00544184" w:rsidRPr="00D96E67">
        <w:rPr>
          <w:i/>
          <w:iCs/>
        </w:rPr>
        <w:t xml:space="preserve"> v Hazzard</w:t>
      </w:r>
      <w:r w:rsidR="00544184" w:rsidRPr="00544184">
        <w:rPr>
          <w:rStyle w:val="FootnoteReference"/>
        </w:rPr>
        <w:footnoteReference w:id="45"/>
      </w:r>
      <w:r w:rsidR="00544184">
        <w:t>,</w:t>
      </w:r>
      <w:r w:rsidR="0077558B">
        <w:t xml:space="preserve"> received 1.4 million views, including 390,000 on the first day of the hearing</w:t>
      </w:r>
      <w:r w:rsidR="0077558B">
        <w:rPr>
          <w:rStyle w:val="FootnoteReference"/>
        </w:rPr>
        <w:footnoteReference w:id="46"/>
      </w:r>
      <w:r w:rsidR="0077558B">
        <w:t>.</w:t>
      </w:r>
      <w:r w:rsidR="00D96E67">
        <w:t xml:space="preserve"> </w:t>
      </w:r>
    </w:p>
    <w:p w14:paraId="01054D3D" w14:textId="2878FF56" w:rsidR="006C1457" w:rsidRDefault="00B36B9F" w:rsidP="00D07FD9">
      <w:pPr>
        <w:pStyle w:val="NormalHC"/>
      </w:pPr>
      <w:r>
        <w:tab/>
      </w:r>
      <w:r w:rsidR="005201C5">
        <w:t>T</w:t>
      </w:r>
      <w:r w:rsidR="00DE7E38">
        <w:t>he advantages, or otherwise, of broadcasting court proceedings have been the subject of considerable debate since the</w:t>
      </w:r>
      <w:r w:rsidR="00EB7D36">
        <w:t xml:space="preserve"> </w:t>
      </w:r>
      <w:r w:rsidR="00EB7D36">
        <w:lastRenderedPageBreak/>
        <w:t>advent of television</w:t>
      </w:r>
      <w:r w:rsidR="00EB7D36">
        <w:rPr>
          <w:rStyle w:val="FootnoteReference"/>
        </w:rPr>
        <w:footnoteReference w:id="47"/>
      </w:r>
      <w:r w:rsidR="00EB7D36">
        <w:t>.</w:t>
      </w:r>
      <w:r w:rsidR="00DA2D66">
        <w:t xml:space="preserve"> In broad terms, proponents </w:t>
      </w:r>
      <w:r w:rsidR="00D621A4">
        <w:t>highlight the potential for courtroom broadcasts to "facilitate greater transparency, accountability and understanding of the law, judicial process and decisions"</w:t>
      </w:r>
      <w:r w:rsidR="00D621A4">
        <w:rPr>
          <w:rStyle w:val="FootnoteReference"/>
        </w:rPr>
        <w:footnoteReference w:id="48"/>
      </w:r>
      <w:r w:rsidR="00D621A4">
        <w:t>.</w:t>
      </w:r>
      <w:r w:rsidR="006E04D1">
        <w:t xml:space="preserve"> </w:t>
      </w:r>
    </w:p>
    <w:p w14:paraId="4D4A59C0" w14:textId="678F5D5F" w:rsidR="00216127" w:rsidRDefault="00B36B9F" w:rsidP="00D07FD9">
      <w:pPr>
        <w:pStyle w:val="NormalHC"/>
      </w:pPr>
      <w:r>
        <w:tab/>
      </w:r>
      <w:r w:rsidR="00216127">
        <w:t xml:space="preserve">In 2020, psychologists studying 170 university students </w:t>
      </w:r>
      <w:r w:rsidR="00C20C0F">
        <w:t xml:space="preserve">in China found that the broadcasting of court hearings had the capacity meaningfully to </w:t>
      </w:r>
      <w:r w:rsidR="00F63561">
        <w:t>influence</w:t>
      </w:r>
      <w:r w:rsidR="00C20C0F">
        <w:t xml:space="preserve"> public trust in the legal system, with videos making a unique contribution to that process, over and above the publication of written judgments</w:t>
      </w:r>
      <w:r w:rsidR="00C20C0F">
        <w:rPr>
          <w:rStyle w:val="FootnoteReference"/>
        </w:rPr>
        <w:footnoteReference w:id="49"/>
      </w:r>
      <w:r w:rsidR="00C20C0F">
        <w:t>.</w:t>
      </w:r>
      <w:r w:rsidR="00C0145E">
        <w:t xml:space="preserve"> This came, in particular, from an increased </w:t>
      </w:r>
      <w:r w:rsidR="0050765D">
        <w:t>appreciation</w:t>
      </w:r>
      <w:r w:rsidR="00C0145E">
        <w:t xml:space="preserve"> of procedural justice</w:t>
      </w:r>
      <w:r w:rsidR="0050765D">
        <w:t xml:space="preserve"> and interpersonal treatment in the course of the litigation (for example, the judge's treatment of an accused)</w:t>
      </w:r>
      <w:r w:rsidR="00F63561">
        <w:t>.</w:t>
      </w:r>
    </w:p>
    <w:p w14:paraId="7B1C03BB" w14:textId="7D092C08" w:rsidR="00431848" w:rsidRDefault="00B36B9F" w:rsidP="00431848">
      <w:pPr>
        <w:pStyle w:val="NormalHC"/>
      </w:pPr>
      <w:r>
        <w:tab/>
      </w:r>
      <w:r w:rsidR="00F02438">
        <w:t xml:space="preserve">The idea that courts have significant potential to contribute meaningfully to civic education is not new: judicial officers frequently observe that the courts are well placed to provide </w:t>
      </w:r>
      <w:r w:rsidR="00F02438" w:rsidRPr="00C45F10">
        <w:t xml:space="preserve">reliable </w:t>
      </w:r>
      <w:r w:rsidR="00F02438">
        <w:lastRenderedPageBreak/>
        <w:t>information about their own work</w:t>
      </w:r>
      <w:r w:rsidR="00F02438">
        <w:rPr>
          <w:rStyle w:val="FootnoteReference"/>
        </w:rPr>
        <w:footnoteReference w:id="50"/>
      </w:r>
      <w:r w:rsidR="00F02438">
        <w:t>. More recently, and perhaps reflecting a more Trumpian lexicon, others have observed that education provided by and about courts can play an important role in countering misinformation about the legal system</w:t>
      </w:r>
      <w:r w:rsidR="00F02438">
        <w:rPr>
          <w:rStyle w:val="FootnoteReference"/>
        </w:rPr>
        <w:footnoteReference w:id="51"/>
      </w:r>
      <w:r w:rsidR="00F02438">
        <w:t>.</w:t>
      </w:r>
      <w:r w:rsidR="00C222A2">
        <w:t xml:space="preserve"> For some time now, superior courts </w:t>
      </w:r>
      <w:r w:rsidR="00BB7FCC">
        <w:t>have regularly published</w:t>
      </w:r>
      <w:r w:rsidR="00C222A2">
        <w:t xml:space="preserve"> case summaries</w:t>
      </w:r>
      <w:r w:rsidR="00BB7FCC">
        <w:t xml:space="preserve"> of matters of significant public interest</w:t>
      </w:r>
      <w:r w:rsidR="00C222A2">
        <w:t xml:space="preserve"> when judgment is delivered to explain the decision in lay terms</w:t>
      </w:r>
      <w:r w:rsidR="00BA2071">
        <w:t xml:space="preserve">, and the High Court </w:t>
      </w:r>
      <w:r w:rsidR="00B21EA4">
        <w:t>publishes summaries for all its Full Court decisions</w:t>
      </w:r>
      <w:r w:rsidR="00C222A2">
        <w:t>.</w:t>
      </w:r>
      <w:r w:rsidR="00431848">
        <w:t xml:space="preserve"> </w:t>
      </w:r>
      <w:r w:rsidR="001F3483">
        <w:t>E</w:t>
      </w:r>
      <w:r w:rsidR="00431848">
        <w:t>arlier this year, the Australian Law Reform Commission recommended that Commonwealth courts should create accessible public resources that explain the processes and structure in place to support the independence and impartiality of judge</w:t>
      </w:r>
      <w:r w:rsidR="00082BF8">
        <w:t>s</w:t>
      </w:r>
      <w:r w:rsidR="00431848">
        <w:t xml:space="preserve"> and the mechanisms in place to ensure judicial accountability</w:t>
      </w:r>
      <w:r w:rsidR="00431848">
        <w:rPr>
          <w:rStyle w:val="FootnoteReference"/>
        </w:rPr>
        <w:footnoteReference w:id="52"/>
      </w:r>
      <w:r w:rsidR="00431848">
        <w:t xml:space="preserve">. </w:t>
      </w:r>
    </w:p>
    <w:p w14:paraId="3AAF7733" w14:textId="6FA02732" w:rsidR="0030371A" w:rsidRDefault="00B36B9F" w:rsidP="00DF17DB">
      <w:pPr>
        <w:pStyle w:val="NormalHC"/>
      </w:pPr>
      <w:r>
        <w:tab/>
      </w:r>
      <w:r w:rsidR="006E17A6">
        <w:t>I am not well placed to know the extent to which</w:t>
      </w:r>
      <w:r w:rsidR="00357569">
        <w:t xml:space="preserve"> "informal" court education resources </w:t>
      </w:r>
      <w:r w:rsidR="008926A9">
        <w:t xml:space="preserve">might be integrated </w:t>
      </w:r>
      <w:r w:rsidR="00357569">
        <w:t xml:space="preserve">into primary or secondary </w:t>
      </w:r>
      <w:r w:rsidR="008926A9">
        <w:t>school education</w:t>
      </w:r>
      <w:r w:rsidR="00357569">
        <w:t xml:space="preserve">. </w:t>
      </w:r>
      <w:r w:rsidR="00A04F4B">
        <w:t>Nevertheless, it strikes me</w:t>
      </w:r>
      <w:r w:rsidR="001650D7">
        <w:t xml:space="preserve"> that </w:t>
      </w:r>
      <w:r w:rsidR="00A04F4B">
        <w:t>increasing</w:t>
      </w:r>
      <w:r w:rsidR="00741D14">
        <w:t xml:space="preserve"> public interest in court proceedings</w:t>
      </w:r>
      <w:r w:rsidR="007365FC">
        <w:t xml:space="preserve">, as well as the uptake of "true crime" and legal </w:t>
      </w:r>
      <w:r w:rsidR="009B51C3">
        <w:t>media formats,</w:t>
      </w:r>
      <w:r w:rsidR="007365FC">
        <w:t xml:space="preserve"> presents an opportunity for </w:t>
      </w:r>
      <w:r w:rsidR="007365FC">
        <w:lastRenderedPageBreak/>
        <w:t>educators</w:t>
      </w:r>
      <w:r w:rsidR="00020620">
        <w:t xml:space="preserve"> to integrate court education in regular lesson programming outside of formal court visits or other more rigid aspects of the </w:t>
      </w:r>
      <w:r w:rsidR="00A04F4B">
        <w:t>curriculum. Such an approach also has significant benefits for the accessibility of court education, extending an awareness of court proceedings and the judicial process to students who are not in a position, for whatever reason, to be taken physically to a courtroom on school excursions.</w:t>
      </w:r>
    </w:p>
    <w:p w14:paraId="4541D736" w14:textId="01D9D078" w:rsidR="00DF5AD5" w:rsidRDefault="00DF5AD5" w:rsidP="00273116">
      <w:pPr>
        <w:pStyle w:val="HeadingL1"/>
      </w:pPr>
      <w:r>
        <w:t>Looking overseas</w:t>
      </w:r>
      <w:r w:rsidR="00B371A0">
        <w:t xml:space="preserve"> and into the future</w:t>
      </w:r>
    </w:p>
    <w:p w14:paraId="27CB9EAF" w14:textId="55B98DC8" w:rsidR="00BA3E9B" w:rsidRDefault="006E4265" w:rsidP="004A63EC">
      <w:pPr>
        <w:pStyle w:val="NormalHC"/>
      </w:pPr>
      <w:r>
        <w:tab/>
      </w:r>
      <w:r w:rsidR="00950F70">
        <w:t>In both the United Kingdom and the United States</w:t>
      </w:r>
      <w:r w:rsidR="00CD50B5">
        <w:t xml:space="preserve">, we see recognition of </w:t>
      </w:r>
      <w:r w:rsidR="004D0D5D">
        <w:t>the importance of court education. The United Kingdom Supreme Court has a You</w:t>
      </w:r>
      <w:r w:rsidR="00F67406">
        <w:t>T</w:t>
      </w:r>
      <w:r w:rsidR="004D0D5D">
        <w:t xml:space="preserve">ube channel </w:t>
      </w:r>
      <w:r w:rsidR="00B46B50">
        <w:t>with almost 20,000 subscribers</w:t>
      </w:r>
      <w:r w:rsidR="008D5560">
        <w:t xml:space="preserve"> on which it live streams all its proceedings</w:t>
      </w:r>
      <w:r w:rsidR="00B46B50">
        <w:t>.</w:t>
      </w:r>
      <w:r w:rsidR="00F67406">
        <w:rPr>
          <w:rStyle w:val="FootnoteReference"/>
        </w:rPr>
        <w:footnoteReference w:id="53"/>
      </w:r>
      <w:r w:rsidR="00B46B50">
        <w:t xml:space="preserve"> </w:t>
      </w:r>
      <w:r w:rsidR="008D5560">
        <w:t xml:space="preserve">Other </w:t>
      </w:r>
      <w:r w:rsidR="001F3483">
        <w:t>videos</w:t>
      </w:r>
      <w:r w:rsidR="00294223">
        <w:t xml:space="preserve"> </w:t>
      </w:r>
      <w:r w:rsidR="003450D7">
        <w:t xml:space="preserve">on the channel </w:t>
      </w:r>
      <w:r w:rsidR="00294223">
        <w:t xml:space="preserve">include short </w:t>
      </w:r>
      <w:r w:rsidR="009F5159">
        <w:t xml:space="preserve">plain English </w:t>
      </w:r>
      <w:r w:rsidR="00562D93">
        <w:t>video summaries of judgments</w:t>
      </w:r>
      <w:r w:rsidR="003B771E">
        <w:t xml:space="preserve"> delivered</w:t>
      </w:r>
      <w:r w:rsidR="008C59AA">
        <w:t xml:space="preserve"> by Supreme Court justices</w:t>
      </w:r>
      <w:r w:rsidR="003B771E">
        <w:t xml:space="preserve"> to small </w:t>
      </w:r>
      <w:r w:rsidR="009F5159">
        <w:t xml:space="preserve">court room </w:t>
      </w:r>
      <w:r w:rsidR="003B771E">
        <w:t xml:space="preserve">audiences, including young </w:t>
      </w:r>
      <w:r w:rsidR="005011F9">
        <w:t xml:space="preserve">people. </w:t>
      </w:r>
      <w:r w:rsidR="001F3483">
        <w:t>A video</w:t>
      </w:r>
      <w:r w:rsidR="005011F9">
        <w:t xml:space="preserve"> about </w:t>
      </w:r>
      <w:r w:rsidR="005E180E">
        <w:t>a</w:t>
      </w:r>
      <w:r w:rsidR="005011F9">
        <w:t xml:space="preserve"> </w:t>
      </w:r>
      <w:r w:rsidR="005E180E">
        <w:t>selection</w:t>
      </w:r>
      <w:r w:rsidR="005011F9">
        <w:t xml:space="preserve"> </w:t>
      </w:r>
      <w:r w:rsidR="00EF7073">
        <w:t>process for new</w:t>
      </w:r>
      <w:r w:rsidR="005011F9">
        <w:t xml:space="preserve"> Supreme Court justice</w:t>
      </w:r>
      <w:r w:rsidR="005C4A13">
        <w:t>s, presented by Lord Reed</w:t>
      </w:r>
      <w:r w:rsidR="008C59AA">
        <w:t>, President of the Court,</w:t>
      </w:r>
      <w:r w:rsidR="00EF7073">
        <w:t xml:space="preserve"> states that the successful candidate should demonstrate willingness to engage in </w:t>
      </w:r>
      <w:r w:rsidR="008D1FB2">
        <w:t>"</w:t>
      </w:r>
      <w:r w:rsidR="00EF7073">
        <w:t xml:space="preserve">outreach </w:t>
      </w:r>
      <w:r w:rsidR="008D1FB2">
        <w:t>activities".</w:t>
      </w:r>
      <w:r w:rsidR="00F759E3">
        <w:rPr>
          <w:rStyle w:val="FootnoteReference"/>
        </w:rPr>
        <w:footnoteReference w:id="54"/>
      </w:r>
      <w:r w:rsidR="00571872">
        <w:t xml:space="preserve"> Another video records a mock trial of Magna Carta Barons at Westminster Hall presided over by </w:t>
      </w:r>
      <w:r w:rsidR="00BA3E9B" w:rsidRPr="00BA3E9B">
        <w:t xml:space="preserve">Lord Neuberger, </w:t>
      </w:r>
      <w:r w:rsidR="00BA3E9B">
        <w:t xml:space="preserve">former </w:t>
      </w:r>
      <w:r w:rsidR="00BA3E9B" w:rsidRPr="00BA3E9B">
        <w:t>President of the Supreme Court, Justice Stephen Breyer</w:t>
      </w:r>
      <w:r w:rsidR="00BA3E9B">
        <w:t>, then</w:t>
      </w:r>
      <w:r w:rsidR="00BA3E9B" w:rsidRPr="00BA3E9B">
        <w:t xml:space="preserve"> of the US </w:t>
      </w:r>
      <w:r w:rsidR="00BA3E9B" w:rsidRPr="00BA3E9B">
        <w:lastRenderedPageBreak/>
        <w:t xml:space="preserve">Supreme Court, and Dame Sian Elias, </w:t>
      </w:r>
      <w:r w:rsidR="00BA3E9B">
        <w:t xml:space="preserve">former </w:t>
      </w:r>
      <w:r w:rsidR="00BA3E9B" w:rsidRPr="00BA3E9B">
        <w:t>Chief Justice of New Zealand</w:t>
      </w:r>
      <w:r w:rsidR="0087038B">
        <w:t>.</w:t>
      </w:r>
      <w:r w:rsidR="0087038B">
        <w:rPr>
          <w:rStyle w:val="FootnoteReference"/>
        </w:rPr>
        <w:footnoteReference w:id="55"/>
      </w:r>
    </w:p>
    <w:p w14:paraId="3B06CDEE" w14:textId="03098D60" w:rsidR="00A63316" w:rsidRDefault="007D4E87" w:rsidP="006E4265">
      <w:pPr>
        <w:pStyle w:val="NormalHC"/>
      </w:pPr>
      <w:r>
        <w:tab/>
      </w:r>
      <w:r w:rsidR="00A63316">
        <w:t xml:space="preserve">In the United States, </w:t>
      </w:r>
      <w:r w:rsidR="00C21FC2">
        <w:t xml:space="preserve">two not-for-profits, Street Law and the Supreme Court Historical Society offer an annual </w:t>
      </w:r>
      <w:r w:rsidR="00E303ED">
        <w:t xml:space="preserve">six day professional development institute to secondary school social studies teachers </w:t>
      </w:r>
      <w:r w:rsidR="00B3620F">
        <w:t>to strengt</w:t>
      </w:r>
      <w:r w:rsidR="00732695">
        <w:t>hen</w:t>
      </w:r>
      <w:r w:rsidR="00B3620F">
        <w:t xml:space="preserve"> and </w:t>
      </w:r>
      <w:r w:rsidR="00732695">
        <w:t>expand their instruction about the Supreme Court of the United States.</w:t>
      </w:r>
      <w:r w:rsidR="00E86424">
        <w:rPr>
          <w:rStyle w:val="FootnoteReference"/>
        </w:rPr>
        <w:footnoteReference w:id="56"/>
      </w:r>
    </w:p>
    <w:p w14:paraId="3889532C" w14:textId="19EDC693" w:rsidR="00941D7C" w:rsidRPr="006E4265" w:rsidRDefault="00626D02" w:rsidP="006E4265">
      <w:pPr>
        <w:pStyle w:val="NormalHC"/>
      </w:pPr>
      <w:r>
        <w:tab/>
        <w:t xml:space="preserve">Finally, the Australian Judicial Officers </w:t>
      </w:r>
      <w:r w:rsidR="004878AA">
        <w:t>Association is currently working on a project</w:t>
      </w:r>
      <w:r w:rsidR="009D6BBE">
        <w:t xml:space="preserve"> to develop asynchronous online court education </w:t>
      </w:r>
      <w:r w:rsidR="006A758F">
        <w:t xml:space="preserve">for students </w:t>
      </w:r>
      <w:r w:rsidR="009D6BBE">
        <w:t>covering two Magistrates court case studies</w:t>
      </w:r>
      <w:r w:rsidR="004878AA">
        <w:t xml:space="preserve">. The project is an adaptation of </w:t>
      </w:r>
      <w:r w:rsidR="0039108E">
        <w:t xml:space="preserve">an online course </w:t>
      </w:r>
      <w:r w:rsidR="00BB5E24">
        <w:t xml:space="preserve">provided by Kings College London and called "The </w:t>
      </w:r>
      <w:r w:rsidR="00755E8D">
        <w:t>m</w:t>
      </w:r>
      <w:r w:rsidR="00BB5E24">
        <w:t xml:space="preserve">odern </w:t>
      </w:r>
      <w:r w:rsidR="00755E8D">
        <w:t>j</w:t>
      </w:r>
      <w:r w:rsidR="00BB5E24">
        <w:t xml:space="preserve">udiciary: </w:t>
      </w:r>
      <w:r w:rsidR="00755E8D">
        <w:t>w</w:t>
      </w:r>
      <w:r w:rsidR="00BB5E24">
        <w:t>ho they are, what they do and why it matters".</w:t>
      </w:r>
    </w:p>
    <w:p w14:paraId="2D1AC626" w14:textId="0772415A" w:rsidR="009A1FB5" w:rsidRPr="009A1FB5" w:rsidRDefault="009A1FB5" w:rsidP="00273116">
      <w:pPr>
        <w:pStyle w:val="HeadingL1"/>
      </w:pPr>
      <w:r>
        <w:t>Conclusion</w:t>
      </w:r>
    </w:p>
    <w:p w14:paraId="5B288CA4" w14:textId="7E402468" w:rsidR="006A048D" w:rsidRDefault="00B36B9F" w:rsidP="009A1FB5">
      <w:pPr>
        <w:pStyle w:val="NormalHC"/>
      </w:pPr>
      <w:r>
        <w:tab/>
      </w:r>
      <w:r w:rsidR="00A032F1">
        <w:t xml:space="preserve">When I </w:t>
      </w:r>
      <w:r w:rsidR="00511B9F">
        <w:t xml:space="preserve">sit in Court, </w:t>
      </w:r>
      <w:r w:rsidR="00132AAA">
        <w:t xml:space="preserve">I </w:t>
      </w:r>
      <w:r w:rsidR="00064266">
        <w:t>sometimes</w:t>
      </w:r>
      <w:r w:rsidR="00132AAA">
        <w:t xml:space="preserve"> see a group of school students</w:t>
      </w:r>
      <w:r w:rsidR="00475F43">
        <w:t xml:space="preserve"> come to visit. </w:t>
      </w:r>
      <w:r w:rsidR="00B77F80">
        <w:t xml:space="preserve">I </w:t>
      </w:r>
      <w:r w:rsidR="0048199E">
        <w:t xml:space="preserve">do </w:t>
      </w:r>
      <w:r w:rsidR="00D43FFE">
        <w:t xml:space="preserve">wonder what </w:t>
      </w:r>
      <w:r w:rsidR="008F3576">
        <w:t>they will make of</w:t>
      </w:r>
      <w:r w:rsidR="00A06852">
        <w:t xml:space="preserve"> </w:t>
      </w:r>
      <w:r w:rsidR="00844DE4">
        <w:t xml:space="preserve">the </w:t>
      </w:r>
      <w:r w:rsidR="00781927">
        <w:t>proceedings</w:t>
      </w:r>
      <w:r w:rsidR="00637EC6">
        <w:t xml:space="preserve"> that</w:t>
      </w:r>
      <w:r w:rsidR="000675E8">
        <w:t xml:space="preserve"> </w:t>
      </w:r>
      <w:r w:rsidR="00684F90">
        <w:t>play out</w:t>
      </w:r>
      <w:r w:rsidR="001B648F">
        <w:t xml:space="preserve"> before them</w:t>
      </w:r>
      <w:r w:rsidR="00564F38">
        <w:t xml:space="preserve"> and I </w:t>
      </w:r>
      <w:r w:rsidR="00BD4F2D">
        <w:t xml:space="preserve">worry about whether </w:t>
      </w:r>
      <w:r w:rsidR="0085299E">
        <w:t>adequate</w:t>
      </w:r>
      <w:r w:rsidR="00564F38">
        <w:t xml:space="preserve"> </w:t>
      </w:r>
      <w:r w:rsidR="005E3130">
        <w:t>tools</w:t>
      </w:r>
      <w:r w:rsidR="00AE685A">
        <w:t xml:space="preserve"> are available</w:t>
      </w:r>
      <w:r w:rsidR="00E207DA">
        <w:t xml:space="preserve"> to make the experience meaningful</w:t>
      </w:r>
      <w:r w:rsidR="00AE685A">
        <w:t xml:space="preserve"> and </w:t>
      </w:r>
      <w:r w:rsidR="00AE685A">
        <w:lastRenderedPageBreak/>
        <w:t>educative</w:t>
      </w:r>
      <w:r w:rsidR="00E207DA">
        <w:t xml:space="preserve">. </w:t>
      </w:r>
      <w:r w:rsidR="00DC3846">
        <w:t xml:space="preserve">I think that the teachers' task </w:t>
      </w:r>
      <w:r w:rsidR="00523F26">
        <w:t>must be</w:t>
      </w:r>
      <w:r w:rsidR="00DC3846">
        <w:t xml:space="preserve"> a very difficult one. </w:t>
      </w:r>
      <w:r w:rsidR="00E207DA">
        <w:t xml:space="preserve">I also think of the </w:t>
      </w:r>
      <w:r w:rsidR="00F762D2">
        <w:t>students</w:t>
      </w:r>
      <w:r w:rsidR="00E207DA">
        <w:t>'</w:t>
      </w:r>
      <w:r w:rsidR="00875CAB">
        <w:t xml:space="preserve"> </w:t>
      </w:r>
      <w:r w:rsidR="007161EB">
        <w:t>humbling potential.</w:t>
      </w:r>
    </w:p>
    <w:p w14:paraId="493DFCB1" w14:textId="708618FF" w:rsidR="00EE2834" w:rsidRDefault="00390B73" w:rsidP="00596A00">
      <w:pPr>
        <w:pStyle w:val="NormalHC"/>
      </w:pPr>
      <w:r>
        <w:tab/>
      </w:r>
      <w:r w:rsidR="0048199E">
        <w:t xml:space="preserve">This reminds me </w:t>
      </w:r>
      <w:r w:rsidR="00F836C0">
        <w:t>of</w:t>
      </w:r>
      <w:r w:rsidR="00F762D2">
        <w:t xml:space="preserve"> </w:t>
      </w:r>
      <w:r w:rsidR="00E207DA">
        <w:t>the eight year old</w:t>
      </w:r>
      <w:r w:rsidR="009C1690">
        <w:t xml:space="preserve"> Mary Gaudron </w:t>
      </w:r>
      <w:r w:rsidR="005475A7">
        <w:t>who</w:t>
      </w:r>
      <w:r w:rsidR="001F3483">
        <w:t>, in 1951,</w:t>
      </w:r>
      <w:r w:rsidR="00274EDE">
        <w:t xml:space="preserve"> was</w:t>
      </w:r>
      <w:r w:rsidR="005475A7">
        <w:t xml:space="preserve"> </w:t>
      </w:r>
      <w:r w:rsidR="00E737C9">
        <w:t xml:space="preserve">watching </w:t>
      </w:r>
      <w:r w:rsidR="006C1EB0">
        <w:t xml:space="preserve">on, </w:t>
      </w:r>
      <w:r w:rsidR="00E0798D">
        <w:t xml:space="preserve">at </w:t>
      </w:r>
      <w:r w:rsidR="0063417F">
        <w:t>a political rall</w:t>
      </w:r>
      <w:r w:rsidR="000E0311">
        <w:t>y</w:t>
      </w:r>
      <w:r w:rsidR="00102609">
        <w:t xml:space="preserve"> in the country town of Moree</w:t>
      </w:r>
      <w:r w:rsidR="000E0311">
        <w:t>.</w:t>
      </w:r>
      <w:r w:rsidR="00102609">
        <w:t xml:space="preserve"> </w:t>
      </w:r>
      <w:r w:rsidR="00AF034D">
        <w:t>Mary stood in a crowd</w:t>
      </w:r>
      <w:r w:rsidR="001B5190">
        <w:t xml:space="preserve"> around</w:t>
      </w:r>
      <w:r w:rsidR="000B4369">
        <w:t xml:space="preserve"> </w:t>
      </w:r>
      <w:r w:rsidR="002C56FD">
        <w:t>Dr HV</w:t>
      </w:r>
      <w:r w:rsidR="000B4369">
        <w:t xml:space="preserve"> Evatt</w:t>
      </w:r>
      <w:r w:rsidR="001135EF">
        <w:rPr>
          <w:rFonts w:ascii="Arial" w:hAnsi="Arial" w:cs="Arial"/>
          <w:color w:val="202124"/>
          <w:sz w:val="21"/>
          <w:szCs w:val="21"/>
          <w:shd w:val="clear" w:color="auto" w:fill="FFFFFF"/>
        </w:rPr>
        <w:t>,</w:t>
      </w:r>
      <w:r w:rsidR="00D4446C">
        <w:t xml:space="preserve"> then the leader of the </w:t>
      </w:r>
      <w:r w:rsidR="0017508B">
        <w:t>Australian Labor Party</w:t>
      </w:r>
      <w:r w:rsidR="00D4446C">
        <w:t xml:space="preserve">. </w:t>
      </w:r>
      <w:r w:rsidR="008B082C">
        <w:t xml:space="preserve">Dr Evatt had been a Justice of the High Court between </w:t>
      </w:r>
      <w:r w:rsidR="0005085C">
        <w:t>1930 and 1940</w:t>
      </w:r>
      <w:r w:rsidR="00B75C7E">
        <w:t xml:space="preserve">, and </w:t>
      </w:r>
      <w:r w:rsidR="00CF1E8B">
        <w:t>represented Australia as the third President of the General Assembly of the United Nations in 1948</w:t>
      </w:r>
      <w:r w:rsidR="00A2750A">
        <w:t xml:space="preserve">. It has been said that Dr Evatt persuaded the then sceptical Australian government to </w:t>
      </w:r>
      <w:r w:rsidR="00A73D4A">
        <w:t>vote in favour of</w:t>
      </w:r>
      <w:r w:rsidR="00A2750A">
        <w:t xml:space="preserve"> the Universal Declaration of Human Rights</w:t>
      </w:r>
      <w:r w:rsidR="00A73D4A">
        <w:rPr>
          <w:rStyle w:val="FootnoteReference"/>
        </w:rPr>
        <w:footnoteReference w:id="57"/>
      </w:r>
      <w:r w:rsidR="00CF1E8B">
        <w:t>.</w:t>
      </w:r>
      <w:r w:rsidR="00A73D4A">
        <w:t xml:space="preserve"> Dr Evatt</w:t>
      </w:r>
      <w:r w:rsidR="00D4446C">
        <w:t xml:space="preserve"> was making a speech</w:t>
      </w:r>
      <w:r w:rsidR="000612F1">
        <w:t>,</w:t>
      </w:r>
      <w:r w:rsidR="00D4446C">
        <w:t xml:space="preserve"> </w:t>
      </w:r>
      <w:r w:rsidR="00A637D3">
        <w:t xml:space="preserve">opposing </w:t>
      </w:r>
      <w:r w:rsidR="003D721B">
        <w:t xml:space="preserve">a proposed constitutional amendment </w:t>
      </w:r>
      <w:r w:rsidR="00A73D4A">
        <w:t xml:space="preserve">by the Menzies government </w:t>
      </w:r>
      <w:r w:rsidR="003D721B">
        <w:t xml:space="preserve">that would outlaw the Communist Party. </w:t>
      </w:r>
      <w:r w:rsidR="00A73D4A">
        <w:t xml:space="preserve">Dr Evatt saw the proposed amendment as </w:t>
      </w:r>
      <w:r w:rsidR="00DB513F">
        <w:t>an attack upon freedom of speech. A</w:t>
      </w:r>
      <w:r w:rsidR="0092780F">
        <w:t xml:space="preserve">ccording to legend, Mary </w:t>
      </w:r>
      <w:r w:rsidR="00EE676C">
        <w:t xml:space="preserve">raised her hand and </w:t>
      </w:r>
      <w:r w:rsidR="007E4F93">
        <w:t>asked</w:t>
      </w:r>
      <w:r w:rsidR="001B5698">
        <w:t>:</w:t>
      </w:r>
      <w:r w:rsidR="00EE676C">
        <w:t xml:space="preserve"> "Please sir, what's a Constitution</w:t>
      </w:r>
      <w:r w:rsidR="00490252">
        <w:t xml:space="preserve">?". </w:t>
      </w:r>
      <w:r w:rsidR="009642AA">
        <w:t>Dr Evatt explained that it was the law by which Parliament was</w:t>
      </w:r>
      <w:r w:rsidR="00866E99">
        <w:t xml:space="preserve"> governed. Undaunted, Mary had another question </w:t>
      </w:r>
      <w:r w:rsidR="0083707D">
        <w:t>sourced in her Catholic education:</w:t>
      </w:r>
      <w:r w:rsidR="00866E99">
        <w:t xml:space="preserve"> "Is it like the Ten Commandants?</w:t>
      </w:r>
      <w:r w:rsidR="00C056D2">
        <w:t>" Dr Evatt said: "You could call it the Ten Commandments of government". Finally, Mary asked where she could get a copy</w:t>
      </w:r>
      <w:r w:rsidR="00DF3AC8">
        <w:t xml:space="preserve">. Dr Evatt replied "You can write to me, Dr HV Evatt, Parliament House Canberra, and I will send you one". </w:t>
      </w:r>
      <w:r w:rsidR="00866E99">
        <w:t xml:space="preserve"> </w:t>
      </w:r>
      <w:r w:rsidR="00F77A44">
        <w:t>She did</w:t>
      </w:r>
      <w:r w:rsidR="000D2469" w:rsidDel="00EE676C">
        <w:t xml:space="preserve"> and</w:t>
      </w:r>
      <w:r w:rsidR="003D721B" w:rsidDel="00EE676C">
        <w:t xml:space="preserve"> </w:t>
      </w:r>
      <w:r w:rsidR="00F77A44">
        <w:t>he did</w:t>
      </w:r>
      <w:r w:rsidR="0048199E">
        <w:t xml:space="preserve">, and </w:t>
      </w:r>
      <w:r w:rsidR="00A40D4A">
        <w:t xml:space="preserve">the </w:t>
      </w:r>
      <w:r w:rsidR="00A40D4A">
        <w:lastRenderedPageBreak/>
        <w:t>young Mary</w:t>
      </w:r>
      <w:r w:rsidR="00DE5E05">
        <w:t xml:space="preserve"> was set on a path</w:t>
      </w:r>
      <w:r w:rsidR="0094176B">
        <w:t xml:space="preserve"> </w:t>
      </w:r>
      <w:r w:rsidR="00155F9D">
        <w:t>that</w:t>
      </w:r>
      <w:r w:rsidR="0094176B">
        <w:t xml:space="preserve"> </w:t>
      </w:r>
      <w:r w:rsidR="00BB2A35">
        <w:t>led to the High Court of Australia.</w:t>
      </w:r>
      <w:r w:rsidR="005A4CDF">
        <w:rPr>
          <w:rStyle w:val="FootnoteReference"/>
        </w:rPr>
        <w:footnoteReference w:id="58"/>
      </w:r>
      <w:r w:rsidR="00BB2A35">
        <w:t xml:space="preserve"> </w:t>
      </w:r>
    </w:p>
    <w:p w14:paraId="448259F8" w14:textId="77D70EBE" w:rsidR="00E26063" w:rsidRPr="00A73989" w:rsidRDefault="002E07AC" w:rsidP="00787C67">
      <w:pPr>
        <w:pStyle w:val="NormalHC"/>
      </w:pPr>
      <w:r>
        <w:tab/>
      </w:r>
      <w:r w:rsidR="001D1741">
        <w:t xml:space="preserve">For me, the lesson of this story </w:t>
      </w:r>
      <w:r w:rsidR="00261BE0">
        <w:t xml:space="preserve">is that </w:t>
      </w:r>
      <w:r w:rsidR="00FA4A4B">
        <w:t xml:space="preserve">there will be unexpected </w:t>
      </w:r>
      <w:r w:rsidR="000F6699">
        <w:t xml:space="preserve">opportunities for </w:t>
      </w:r>
      <w:r w:rsidR="00AE4A8C">
        <w:t xml:space="preserve">lighting and </w:t>
      </w:r>
      <w:r w:rsidR="006D382A">
        <w:t xml:space="preserve">fuelling the flames of curiosity about our </w:t>
      </w:r>
      <w:r w:rsidR="008C6813">
        <w:t>courts</w:t>
      </w:r>
      <w:r w:rsidR="00E41429">
        <w:t xml:space="preserve">. </w:t>
      </w:r>
      <w:r w:rsidR="00D92913">
        <w:t>It must be</w:t>
      </w:r>
      <w:r w:rsidR="00E41429">
        <w:t xml:space="preserve"> one of the great pleasures </w:t>
      </w:r>
      <w:r w:rsidR="002D1C54">
        <w:t xml:space="preserve">for a teacher to </w:t>
      </w:r>
      <w:r w:rsidR="00D37520">
        <w:t>recognise that they have inspired curiosity</w:t>
      </w:r>
      <w:r w:rsidR="00FC0391">
        <w:t xml:space="preserve"> in a student. </w:t>
      </w:r>
      <w:r w:rsidR="00385648">
        <w:t>Mary Gaudron's story holds out the promise that</w:t>
      </w:r>
      <w:r w:rsidR="009048B6">
        <w:t xml:space="preserve">, </w:t>
      </w:r>
      <w:r w:rsidR="00B63B62">
        <w:t xml:space="preserve">whether </w:t>
      </w:r>
      <w:r w:rsidR="00D62C1D">
        <w:t>as</w:t>
      </w:r>
      <w:r w:rsidR="00B63B62">
        <w:t xml:space="preserve"> professional teachers</w:t>
      </w:r>
      <w:r w:rsidR="00D62C1D">
        <w:t>, parents</w:t>
      </w:r>
      <w:r w:rsidR="005959DF">
        <w:t>, relatives</w:t>
      </w:r>
      <w:r w:rsidR="00D62C1D">
        <w:t xml:space="preserve"> or </w:t>
      </w:r>
      <w:r w:rsidR="003E6871">
        <w:t xml:space="preserve">simply </w:t>
      </w:r>
      <w:r w:rsidR="00960572">
        <w:t>members of the community</w:t>
      </w:r>
      <w:r w:rsidR="008D3E5E">
        <w:t xml:space="preserve">, we can </w:t>
      </w:r>
      <w:r w:rsidR="0014707A">
        <w:t>inspire</w:t>
      </w:r>
      <w:r w:rsidR="00B97EE7">
        <w:t xml:space="preserve"> curiosity</w:t>
      </w:r>
      <w:r w:rsidR="006026D3">
        <w:t xml:space="preserve"> </w:t>
      </w:r>
      <w:r w:rsidR="00321F2D">
        <w:t>in our young people about the</w:t>
      </w:r>
      <w:r w:rsidR="00EE227A">
        <w:t xml:space="preserve"> courts </w:t>
      </w:r>
      <w:r w:rsidR="00F75F89">
        <w:t xml:space="preserve">as an aspect of </w:t>
      </w:r>
      <w:r w:rsidR="00E17D55">
        <w:t xml:space="preserve">our </w:t>
      </w:r>
      <w:r w:rsidR="007A2D2E">
        <w:t>liberal democracy</w:t>
      </w:r>
      <w:r w:rsidR="001E76BA">
        <w:t xml:space="preserve">, </w:t>
      </w:r>
      <w:r w:rsidR="008249DE">
        <w:t>and as part of their formation as</w:t>
      </w:r>
      <w:r w:rsidR="001A6743">
        <w:t xml:space="preserve"> active and informed members of our </w:t>
      </w:r>
      <w:r w:rsidR="004666FF">
        <w:t xml:space="preserve">shared </w:t>
      </w:r>
      <w:r w:rsidR="001A6743">
        <w:t>community.</w:t>
      </w:r>
    </w:p>
    <w:sectPr w:rsidR="00E26063" w:rsidRPr="00A73989" w:rsidSect="00133C7B">
      <w:headerReference w:type="default" r:id="rId11"/>
      <w:headerReference w:type="first" r:id="rId12"/>
      <w:type w:val="oddPage"/>
      <w:pgSz w:w="11906" w:h="16838" w:code="9"/>
      <w:pgMar w:top="1985" w:right="1701" w:bottom="1985" w:left="1701" w:header="851" w:footer="567"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F682F" w14:textId="77777777" w:rsidR="008C68E9" w:rsidRDefault="008C68E9">
      <w:pPr>
        <w:spacing w:line="240" w:lineRule="auto"/>
      </w:pPr>
      <w:r>
        <w:separator/>
      </w:r>
    </w:p>
  </w:endnote>
  <w:endnote w:type="continuationSeparator" w:id="0">
    <w:p w14:paraId="65B17239" w14:textId="77777777" w:rsidR="008C68E9" w:rsidRDefault="008C68E9">
      <w:pPr>
        <w:spacing w:line="240" w:lineRule="auto"/>
      </w:pPr>
      <w:r>
        <w:continuationSeparator/>
      </w:r>
    </w:p>
  </w:endnote>
  <w:endnote w:type="continuationNotice" w:id="1">
    <w:p w14:paraId="086F0930" w14:textId="77777777" w:rsidR="008C68E9" w:rsidRDefault="008C68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78ED2" w14:textId="77777777" w:rsidR="008C68E9" w:rsidRDefault="008C68E9" w:rsidP="00F772CC">
      <w:pPr>
        <w:pStyle w:val="Footer"/>
        <w:spacing w:after="120"/>
      </w:pPr>
      <w:r>
        <w:continuationSeparator/>
      </w:r>
    </w:p>
  </w:footnote>
  <w:footnote w:type="continuationSeparator" w:id="0">
    <w:p w14:paraId="5ABA1E78" w14:textId="77777777" w:rsidR="008C68E9" w:rsidRDefault="008C68E9">
      <w:pPr>
        <w:pStyle w:val="Footer"/>
        <w:spacing w:after="120"/>
      </w:pPr>
      <w:r>
        <w:continuationSeparator/>
      </w:r>
    </w:p>
  </w:footnote>
  <w:footnote w:type="continuationNotice" w:id="1">
    <w:p w14:paraId="12809D1B" w14:textId="77777777" w:rsidR="008C68E9" w:rsidRDefault="008C68E9">
      <w:pPr>
        <w:jc w:val="right"/>
      </w:pPr>
    </w:p>
  </w:footnote>
  <w:footnote w:id="2">
    <w:p w14:paraId="343019A2" w14:textId="57677BE0" w:rsidR="00AE4660" w:rsidRPr="00710B89" w:rsidRDefault="00AE4660" w:rsidP="00AE4660">
      <w:pPr>
        <w:pStyle w:val="FootnoteText"/>
        <w:rPr>
          <w:b/>
          <w:bCs/>
        </w:rPr>
      </w:pPr>
      <w:r w:rsidRPr="00710B89">
        <w:rPr>
          <w:rStyle w:val="FootnoteReference"/>
          <w:sz w:val="20"/>
          <w:vertAlign w:val="baseline"/>
        </w:rPr>
        <w:sym w:font="Symbol" w:char="F02A"/>
      </w:r>
      <w:r w:rsidRPr="00710B89">
        <w:tab/>
      </w:r>
      <w:r>
        <w:t xml:space="preserve">Justice of the High Court of Australia. </w:t>
      </w:r>
      <w:r w:rsidRPr="00DD3D85">
        <w:rPr>
          <w:rStyle w:val="FootnoteReference"/>
          <w:b w:val="0"/>
          <w:bCs/>
          <w:sz w:val="26"/>
          <w:vertAlign w:val="baseline"/>
        </w:rPr>
        <w:t>I gratefully acknowledge the assistance of my associates, Jamie Blaker and Olivia Ronan, in the preparation of these observations.</w:t>
      </w:r>
    </w:p>
  </w:footnote>
  <w:footnote w:id="3">
    <w:p w14:paraId="56FBDCEA" w14:textId="61E6C92C" w:rsidR="000D3335" w:rsidRPr="00115D8F" w:rsidRDefault="000D3335" w:rsidP="000D3335">
      <w:pPr>
        <w:pStyle w:val="FootnoteText"/>
      </w:pPr>
      <w:r w:rsidRPr="00115D8F">
        <w:rPr>
          <w:rStyle w:val="FootnoteReference"/>
          <w:sz w:val="26"/>
        </w:rPr>
        <w:footnoteRef/>
      </w:r>
      <w:r w:rsidRPr="00115D8F">
        <w:t xml:space="preserve"> </w:t>
      </w:r>
      <w:r w:rsidRPr="00115D8F">
        <w:tab/>
        <w:t xml:space="preserve">Burton, </w:t>
      </w:r>
      <w:r w:rsidRPr="00115D8F">
        <w:rPr>
          <w:i/>
          <w:iCs/>
        </w:rPr>
        <w:t xml:space="preserve">From Moree to Mabo: The Mary Gaudron Story </w:t>
      </w:r>
      <w:r w:rsidRPr="00115D8F">
        <w:t>(2010, UWA Publishing) at 186</w:t>
      </w:r>
      <w:r w:rsidR="00CE6BE0">
        <w:t>.</w:t>
      </w:r>
    </w:p>
  </w:footnote>
  <w:footnote w:id="4">
    <w:p w14:paraId="0A6E068C" w14:textId="77777777" w:rsidR="00205060" w:rsidRDefault="00205060" w:rsidP="00205060">
      <w:pPr>
        <w:pStyle w:val="FootnoteText"/>
      </w:pPr>
      <w:r>
        <w:rPr>
          <w:rStyle w:val="FootnoteReference"/>
        </w:rPr>
        <w:footnoteRef/>
      </w:r>
      <w:r>
        <w:t xml:space="preserve"> </w:t>
      </w:r>
      <w:r>
        <w:tab/>
      </w:r>
      <w:r w:rsidRPr="00115D8F">
        <w:t xml:space="preserve">Charles, </w:t>
      </w:r>
      <w:r w:rsidRPr="00115D8F">
        <w:rPr>
          <w:i/>
          <w:iCs/>
        </w:rPr>
        <w:t xml:space="preserve">Court Education Project 2019-2021: Churchill Fellowship Report </w:t>
      </w:r>
      <w:r w:rsidRPr="00115D8F">
        <w:t>(2021)</w:t>
      </w:r>
      <w:r>
        <w:t xml:space="preserve"> at 20.</w:t>
      </w:r>
    </w:p>
  </w:footnote>
  <w:footnote w:id="5">
    <w:p w14:paraId="2A44B9A8" w14:textId="77777777" w:rsidR="006A7673" w:rsidRDefault="006A7673" w:rsidP="006A7673">
      <w:pPr>
        <w:pStyle w:val="FootnoteText"/>
      </w:pPr>
      <w:r>
        <w:rPr>
          <w:rStyle w:val="FootnoteReference"/>
        </w:rPr>
        <w:footnoteRef/>
      </w:r>
      <w:r>
        <w:t xml:space="preserve"> </w:t>
      </w:r>
      <w:r>
        <w:tab/>
        <w:t>Galston</w:t>
      </w:r>
      <w:r w:rsidRPr="00816820">
        <w:t>, 'Civic Education in the Liberal State'</w:t>
      </w:r>
      <w:r>
        <w:t xml:space="preserve"> in </w:t>
      </w:r>
      <w:r>
        <w:rPr>
          <w:i/>
          <w:iCs/>
        </w:rPr>
        <w:t xml:space="preserve">Philosophers On Education: New Historical Perspectives </w:t>
      </w:r>
      <w:r>
        <w:t xml:space="preserve">(Taylor &amp; Francis, 1998) at </w:t>
      </w:r>
      <w:r w:rsidRPr="00816820">
        <w:t>468</w:t>
      </w:r>
      <w:r>
        <w:t>.</w:t>
      </w:r>
    </w:p>
  </w:footnote>
  <w:footnote w:id="6">
    <w:p w14:paraId="29932698" w14:textId="77777777" w:rsidR="006A7673" w:rsidRDefault="006A7673" w:rsidP="006A7673">
      <w:pPr>
        <w:pStyle w:val="FootnoteText"/>
      </w:pPr>
      <w:r w:rsidRPr="00550808">
        <w:rPr>
          <w:rStyle w:val="FootnoteReference"/>
        </w:rPr>
        <w:footnoteRef/>
      </w:r>
      <w:r w:rsidRPr="00550808">
        <w:rPr>
          <w:vertAlign w:val="superscript"/>
        </w:rPr>
        <w:t xml:space="preserve"> </w:t>
      </w:r>
      <w:r>
        <w:tab/>
        <w:t>In that sense, civil education has been administered '[i]n most times and places': Galston</w:t>
      </w:r>
      <w:r w:rsidRPr="00816820">
        <w:t>, 'Civic Education in the Liberal State'</w:t>
      </w:r>
      <w:r>
        <w:t xml:space="preserve"> in </w:t>
      </w:r>
      <w:r>
        <w:rPr>
          <w:i/>
          <w:iCs/>
        </w:rPr>
        <w:t xml:space="preserve">Philosophers On Education: New Historical Perspectives </w:t>
      </w:r>
      <w:r>
        <w:t>(Taylor &amp; Francis, 1998) at 467-8.</w:t>
      </w:r>
    </w:p>
  </w:footnote>
  <w:footnote w:id="7">
    <w:p w14:paraId="04E39227" w14:textId="777FE2E0" w:rsidR="003D3F96" w:rsidRDefault="003D3F96" w:rsidP="003D3F96">
      <w:pPr>
        <w:pStyle w:val="FootnoteText"/>
      </w:pPr>
      <w:r>
        <w:rPr>
          <w:rStyle w:val="FootnoteReference"/>
        </w:rPr>
        <w:footnoteRef/>
      </w:r>
      <w:r>
        <w:t xml:space="preserve"> </w:t>
      </w:r>
      <w:r>
        <w:tab/>
      </w:r>
      <w:r>
        <w:rPr>
          <w:i/>
          <w:iCs/>
        </w:rPr>
        <w:t>Catechism of the Catholic Church (2nd ed)</w:t>
      </w:r>
      <w:r>
        <w:t>, [2239]</w:t>
      </w:r>
      <w:r w:rsidR="00550808">
        <w:t>.</w:t>
      </w:r>
    </w:p>
  </w:footnote>
  <w:footnote w:id="8">
    <w:p w14:paraId="7C8CC751" w14:textId="1B4384C0" w:rsidR="00532AB3" w:rsidRDefault="00532AB3">
      <w:pPr>
        <w:pStyle w:val="FootnoteText"/>
      </w:pPr>
      <w:r>
        <w:rPr>
          <w:rStyle w:val="FootnoteReference"/>
        </w:rPr>
        <w:footnoteRef/>
      </w:r>
      <w:r>
        <w:t xml:space="preserve"> </w:t>
      </w:r>
      <w:r>
        <w:tab/>
      </w:r>
      <w:r>
        <w:rPr>
          <w:i/>
          <w:iCs/>
        </w:rPr>
        <w:t>Pacem in Terris, Encyclical of Pope John XXIII on Establishing Universal Peace in Truth, Justice, Charity, and Liberty</w:t>
      </w:r>
      <w:r>
        <w:t xml:space="preserve"> (April 11, 1963).</w:t>
      </w:r>
    </w:p>
  </w:footnote>
  <w:footnote w:id="9">
    <w:p w14:paraId="50F7A55F" w14:textId="65497A42" w:rsidR="006A7673" w:rsidRDefault="006A7673" w:rsidP="006A7673">
      <w:pPr>
        <w:pStyle w:val="FootnoteText"/>
      </w:pPr>
      <w:r>
        <w:rPr>
          <w:rStyle w:val="FootnoteReference"/>
        </w:rPr>
        <w:footnoteRef/>
      </w:r>
      <w:r>
        <w:t xml:space="preserve"> </w:t>
      </w:r>
      <w:r>
        <w:tab/>
        <w:t xml:space="preserve">“Education for democracy: a statement of principles,” (Washington, DC, American Federation of Teachers, 1987) </w:t>
      </w:r>
      <w:r w:rsidR="008104C8">
        <w:t>at</w:t>
      </w:r>
      <w:r>
        <w:t xml:space="preserve"> 8.</w:t>
      </w:r>
    </w:p>
  </w:footnote>
  <w:footnote w:id="10">
    <w:p w14:paraId="478FFBF6" w14:textId="77777777" w:rsidR="006A7673" w:rsidRPr="00B14B66" w:rsidRDefault="006A7673" w:rsidP="006A7673">
      <w:pPr>
        <w:pStyle w:val="FootnoteText"/>
        <w:rPr>
          <w:i/>
          <w:iCs/>
        </w:rPr>
      </w:pPr>
      <w:r>
        <w:rPr>
          <w:rStyle w:val="FootnoteReference"/>
        </w:rPr>
        <w:footnoteRef/>
      </w:r>
      <w:r>
        <w:t xml:space="preserve"> </w:t>
      </w:r>
      <w:r>
        <w:tab/>
      </w:r>
      <w:r w:rsidRPr="00BD4BBC">
        <w:t>Civic education was linked to the survival of democracy in Aristotle's writings, when Aristotle wrote that 'the education of a citizen in the spirit of his constitution... consists in his doing the actions by which... a democracy, will be enabled to survive'</w:t>
      </w:r>
      <w:r>
        <w:t xml:space="preserve">: </w:t>
      </w:r>
      <w:r>
        <w:rPr>
          <w:i/>
          <w:iCs/>
        </w:rPr>
        <w:t xml:space="preserve">The Politics of Aristotle, </w:t>
      </w:r>
      <w:r>
        <w:t>233, (1310a), referred to in Guttman at 20.</w:t>
      </w:r>
      <w:r>
        <w:rPr>
          <w:i/>
          <w:iCs/>
        </w:rPr>
        <w:t xml:space="preserve"> </w:t>
      </w:r>
    </w:p>
  </w:footnote>
  <w:footnote w:id="11">
    <w:p w14:paraId="5674159B" w14:textId="4EE432BB" w:rsidR="0017045F" w:rsidRDefault="0017045F">
      <w:pPr>
        <w:pStyle w:val="FootnoteText"/>
      </w:pPr>
      <w:r>
        <w:rPr>
          <w:rStyle w:val="FootnoteReference"/>
        </w:rPr>
        <w:footnoteRef/>
      </w:r>
      <w:r>
        <w:t xml:space="preserve"> </w:t>
      </w:r>
      <w:r>
        <w:tab/>
      </w:r>
      <w:r w:rsidR="006E6200" w:rsidRPr="006E6200">
        <w:t xml:space="preserve">Diamond, 'Democracy's Arc: From Resurgent to Imperilled' (2022) 33 </w:t>
      </w:r>
      <w:r w:rsidR="006E6200" w:rsidRPr="00960C8C">
        <w:rPr>
          <w:i/>
          <w:iCs/>
        </w:rPr>
        <w:t>Journal of Democracy</w:t>
      </w:r>
      <w:r w:rsidR="006E6200" w:rsidRPr="006E6200">
        <w:t xml:space="preserve"> 163</w:t>
      </w:r>
      <w:r>
        <w:t>.</w:t>
      </w:r>
    </w:p>
  </w:footnote>
  <w:footnote w:id="12">
    <w:p w14:paraId="733DAB6F" w14:textId="564A5947" w:rsidR="00A613A5" w:rsidRDefault="00A613A5" w:rsidP="00A613A5">
      <w:pPr>
        <w:pStyle w:val="FootnoteText"/>
      </w:pPr>
      <w:r w:rsidRPr="00374D3B">
        <w:rPr>
          <w:rStyle w:val="FootnoteReference"/>
          <w:sz w:val="20"/>
        </w:rPr>
        <w:footnoteRef/>
      </w:r>
      <w:r w:rsidRPr="00374D3B">
        <w:t xml:space="preserve"> </w:t>
      </w:r>
      <w:r w:rsidRPr="00374D3B">
        <w:tab/>
      </w:r>
      <w:r>
        <w:t xml:space="preserve">Cameron and McAllister, </w:t>
      </w:r>
      <w:r w:rsidRPr="009C62F5">
        <w:rPr>
          <w:i/>
          <w:iCs/>
        </w:rPr>
        <w:t>The 2019 Australian Federal Election: Results from the Australian Election Study</w:t>
      </w:r>
      <w:r w:rsidRPr="005276B3">
        <w:t xml:space="preserve"> (Australian National University, December 2019) </w:t>
      </w:r>
      <w:r w:rsidR="008104C8">
        <w:t xml:space="preserve">at </w:t>
      </w:r>
      <w:r w:rsidRPr="005276B3">
        <w:t>15</w:t>
      </w:r>
      <w:r w:rsidR="00960C8C">
        <w:t>.</w:t>
      </w:r>
    </w:p>
  </w:footnote>
  <w:footnote w:id="13">
    <w:p w14:paraId="0D617950" w14:textId="7C4D2BA1" w:rsidR="00F7380F" w:rsidRDefault="00F7380F">
      <w:pPr>
        <w:pStyle w:val="FootnoteText"/>
      </w:pPr>
      <w:r>
        <w:rPr>
          <w:rStyle w:val="FootnoteReference"/>
        </w:rPr>
        <w:footnoteRef/>
      </w:r>
      <w:r>
        <w:t xml:space="preserve"> </w:t>
      </w:r>
      <w:r>
        <w:tab/>
      </w:r>
      <w:r w:rsidR="008D47E6">
        <w:t xml:space="preserve">Cameron and McAllister, </w:t>
      </w:r>
      <w:r w:rsidR="008D47E6" w:rsidRPr="009C62F5">
        <w:rPr>
          <w:i/>
          <w:iCs/>
        </w:rPr>
        <w:t>The 2019 Australian Federal Election: Results from the Australian Election Study</w:t>
      </w:r>
      <w:r w:rsidR="00545A98">
        <w:rPr>
          <w:i/>
          <w:iCs/>
        </w:rPr>
        <w:t xml:space="preserve"> </w:t>
      </w:r>
      <w:r w:rsidR="00545A98" w:rsidRPr="005276B3">
        <w:t xml:space="preserve">(Australian National University, December 2019) </w:t>
      </w:r>
      <w:r w:rsidR="008104C8">
        <w:t>at</w:t>
      </w:r>
      <w:r w:rsidR="00545A98" w:rsidRPr="005276B3">
        <w:t xml:space="preserve"> 15</w:t>
      </w:r>
      <w:r w:rsidR="00545A98">
        <w:t>.</w:t>
      </w:r>
      <w:r w:rsidR="008D47E6" w:rsidDel="008D47E6">
        <w:t xml:space="preserve"> </w:t>
      </w:r>
    </w:p>
  </w:footnote>
  <w:footnote w:id="14">
    <w:p w14:paraId="4BE97D06" w14:textId="77777777" w:rsidR="00A7343D" w:rsidRDefault="00A7343D" w:rsidP="00A7343D">
      <w:pPr>
        <w:pStyle w:val="FootnoteText"/>
      </w:pPr>
      <w:r w:rsidRPr="00374D3B">
        <w:rPr>
          <w:rStyle w:val="FootnoteReference"/>
          <w:sz w:val="20"/>
        </w:rPr>
        <w:footnoteRef/>
      </w:r>
      <w:r w:rsidRPr="00374D3B">
        <w:t xml:space="preserve"> </w:t>
      </w:r>
      <w:r>
        <w:tab/>
        <w:t>Bathurst, 'Trust in the Judiciary' (2021 Opening of Law Term Address, 3 February 2021) at 2.</w:t>
      </w:r>
    </w:p>
  </w:footnote>
  <w:footnote w:id="15">
    <w:p w14:paraId="2A06AE73" w14:textId="77777777" w:rsidR="00345730" w:rsidRPr="00F4604D" w:rsidRDefault="00345730" w:rsidP="00345730">
      <w:pPr>
        <w:pStyle w:val="FootnoteText"/>
        <w:rPr>
          <w:i/>
          <w:iCs/>
        </w:rPr>
      </w:pPr>
      <w:r w:rsidRPr="00115D8F">
        <w:rPr>
          <w:rStyle w:val="FootnoteReference"/>
          <w:sz w:val="26"/>
        </w:rPr>
        <w:footnoteRef/>
      </w:r>
      <w:r w:rsidRPr="00115D8F">
        <w:t xml:space="preserve"> </w:t>
      </w:r>
      <w:r w:rsidRPr="00115D8F">
        <w:tab/>
        <w:t xml:space="preserve">Australian Curriculum, Assessment and Reporting Authority, </w:t>
      </w:r>
      <w:r w:rsidRPr="00115D8F">
        <w:rPr>
          <w:i/>
          <w:iCs/>
        </w:rPr>
        <w:t xml:space="preserve">National Assessment Program Civics and Citizenship: 2019 National Report </w:t>
      </w:r>
      <w:r w:rsidRPr="00115D8F">
        <w:t>(2020) available at &lt;https://nap.edu.au/docs/default-source/default-document-library/20210121-nap-cc-2019-public-report.pdf&gt; at 23-25.</w:t>
      </w:r>
      <w:r>
        <w:t xml:space="preserve"> </w:t>
      </w:r>
      <w:r>
        <w:rPr>
          <w:i/>
          <w:iCs/>
        </w:rPr>
        <w:t>Did any questions fall within court education subject matter?</w:t>
      </w:r>
    </w:p>
  </w:footnote>
  <w:footnote w:id="16">
    <w:p w14:paraId="5D5F434C" w14:textId="77777777" w:rsidR="00345730" w:rsidRPr="00115D8F" w:rsidRDefault="00345730" w:rsidP="00345730">
      <w:pPr>
        <w:pStyle w:val="FootnoteText"/>
      </w:pPr>
      <w:r w:rsidRPr="00115D8F">
        <w:rPr>
          <w:rStyle w:val="FootnoteReference"/>
          <w:sz w:val="26"/>
        </w:rPr>
        <w:footnoteRef/>
      </w:r>
      <w:r w:rsidRPr="00115D8F">
        <w:t xml:space="preserve"> </w:t>
      </w:r>
      <w:r w:rsidRPr="00115D8F">
        <w:tab/>
        <w:t>Australian Curriculum, Assessment and Reporting Authority, "Students are engaged in the community but test scores on democracy stall" (media release, 21 January 2021) available at &lt;https://www.acara.edu.au/docs/default-source/media-releases/20210121-media-release-nap-cc-2019-report.pdf&gt;.</w:t>
      </w:r>
    </w:p>
  </w:footnote>
  <w:footnote w:id="17">
    <w:p w14:paraId="7617CDD1" w14:textId="417FD6FB" w:rsidR="00E51D88" w:rsidRDefault="00E51D88">
      <w:pPr>
        <w:pStyle w:val="FootnoteText"/>
      </w:pPr>
      <w:r>
        <w:rPr>
          <w:rStyle w:val="FootnoteReference"/>
        </w:rPr>
        <w:footnoteRef/>
      </w:r>
      <w:r>
        <w:t xml:space="preserve"> </w:t>
      </w:r>
      <w:r w:rsidR="00FB2215">
        <w:tab/>
      </w:r>
      <w:r w:rsidR="00FB2215" w:rsidRPr="00FB2215">
        <w:t>Blackstone , Commentaries, (1769), bk 4 at 343-344</w:t>
      </w:r>
      <w:r w:rsidR="00FB2215">
        <w:t>, referred to in</w:t>
      </w:r>
      <w:r w:rsidR="00BB17BC">
        <w:t xml:space="preserve"> </w:t>
      </w:r>
      <w:r w:rsidR="00BB17BC">
        <w:rPr>
          <w:i/>
          <w:iCs/>
        </w:rPr>
        <w:t xml:space="preserve">Cheng v The Queen </w:t>
      </w:r>
      <w:r w:rsidR="00BB17BC" w:rsidRPr="00655911">
        <w:t>(2000) 203 CLR 248</w:t>
      </w:r>
      <w:r w:rsidR="00FB2215" w:rsidRPr="00FB2215" w:rsidDel="00017560">
        <w:t xml:space="preserve"> </w:t>
      </w:r>
      <w:r w:rsidR="00A9020F">
        <w:t>at 290-</w:t>
      </w:r>
      <w:r w:rsidR="00474289">
        <w:t>29</w:t>
      </w:r>
      <w:r w:rsidR="00A9020F">
        <w:t>1.</w:t>
      </w:r>
    </w:p>
  </w:footnote>
  <w:footnote w:id="18">
    <w:p w14:paraId="5D9E5243" w14:textId="77777777" w:rsidR="00167D04" w:rsidRDefault="00167D04" w:rsidP="00167D04">
      <w:pPr>
        <w:pStyle w:val="FootnoteText"/>
      </w:pPr>
      <w:r>
        <w:rPr>
          <w:rStyle w:val="FootnoteReference"/>
        </w:rPr>
        <w:footnoteRef/>
      </w:r>
      <w:r>
        <w:t xml:space="preserve"> </w:t>
      </w:r>
      <w:r>
        <w:tab/>
        <w:t xml:space="preserve">Alexander Hamilton, ‘The Federalist No 78 - The Judiciary Department’, </w:t>
      </w:r>
      <w:r w:rsidRPr="00655911">
        <w:rPr>
          <w:i/>
          <w:iCs/>
        </w:rPr>
        <w:t>Independent Journal</w:t>
      </w:r>
      <w:r>
        <w:t xml:space="preserve"> (Saturday, June 14, 1788). </w:t>
      </w:r>
    </w:p>
  </w:footnote>
  <w:footnote w:id="19">
    <w:p w14:paraId="44164293" w14:textId="433CD873" w:rsidR="00813FFC" w:rsidRDefault="00813FFC">
      <w:pPr>
        <w:pStyle w:val="FootnoteText"/>
      </w:pPr>
      <w:r>
        <w:rPr>
          <w:rStyle w:val="FootnoteReference"/>
        </w:rPr>
        <w:footnoteRef/>
      </w:r>
      <w:r>
        <w:t xml:space="preserve"> </w:t>
      </w:r>
      <w:r>
        <w:tab/>
        <w:t>Charles</w:t>
      </w:r>
      <w:r w:rsidR="00A44B76" w:rsidRPr="00115D8F">
        <w:t xml:space="preserve">, </w:t>
      </w:r>
      <w:r w:rsidR="00A44B76" w:rsidRPr="00115D8F">
        <w:rPr>
          <w:i/>
          <w:iCs/>
        </w:rPr>
        <w:t xml:space="preserve">Court Education Project 2019-2021: Churchill Fellowship Report </w:t>
      </w:r>
      <w:r w:rsidR="00A44B76" w:rsidRPr="00115D8F">
        <w:t>(2021)</w:t>
      </w:r>
      <w:r>
        <w:t xml:space="preserve"> </w:t>
      </w:r>
      <w:r w:rsidR="00A44B76">
        <w:t>at</w:t>
      </w:r>
      <w:r>
        <w:t xml:space="preserve"> 21</w:t>
      </w:r>
      <w:r w:rsidR="00A44B76">
        <w:t>.</w:t>
      </w:r>
    </w:p>
  </w:footnote>
  <w:footnote w:id="20">
    <w:p w14:paraId="413329E5" w14:textId="14B1FABC" w:rsidR="00321979" w:rsidRDefault="00321979">
      <w:pPr>
        <w:pStyle w:val="FootnoteText"/>
      </w:pPr>
      <w:r>
        <w:rPr>
          <w:rStyle w:val="FootnoteReference"/>
        </w:rPr>
        <w:footnoteRef/>
      </w:r>
      <w:r>
        <w:t xml:space="preserve"> </w:t>
      </w:r>
      <w:r>
        <w:tab/>
        <w:t>Charles</w:t>
      </w:r>
      <w:r w:rsidRPr="00115D8F">
        <w:t xml:space="preserve">, </w:t>
      </w:r>
      <w:r w:rsidRPr="00115D8F">
        <w:rPr>
          <w:i/>
          <w:iCs/>
        </w:rPr>
        <w:t xml:space="preserve">Court Education Project 2019-2021: Churchill Fellowship Report </w:t>
      </w:r>
      <w:r w:rsidRPr="00115D8F">
        <w:t>(2021)</w:t>
      </w:r>
      <w:r>
        <w:t xml:space="preserve"> at 22.</w:t>
      </w:r>
    </w:p>
  </w:footnote>
  <w:footnote w:id="21">
    <w:p w14:paraId="335F852F" w14:textId="063AF7EA" w:rsidR="001D6165" w:rsidRPr="00115D8F" w:rsidRDefault="001D6165">
      <w:pPr>
        <w:pStyle w:val="FootnoteText"/>
      </w:pPr>
      <w:r w:rsidRPr="00115D8F">
        <w:rPr>
          <w:rStyle w:val="FootnoteReference"/>
          <w:sz w:val="26"/>
        </w:rPr>
        <w:footnoteRef/>
      </w:r>
      <w:r w:rsidRPr="00115D8F">
        <w:t xml:space="preserve"> </w:t>
      </w:r>
      <w:r w:rsidRPr="00115D8F">
        <w:tab/>
        <w:t xml:space="preserve">High Court of Australia, </w:t>
      </w:r>
      <w:r w:rsidRPr="00115D8F">
        <w:rPr>
          <w:i/>
          <w:iCs/>
        </w:rPr>
        <w:t>Annual Report 2020-21</w:t>
      </w:r>
      <w:r w:rsidRPr="00115D8F">
        <w:t xml:space="preserve"> (2021) at 24.</w:t>
      </w:r>
      <w:r w:rsidR="00943928">
        <w:t xml:space="preserve"> See the building's history set out at: </w:t>
      </w:r>
      <w:hyperlink r:id="rId1" w:history="1">
        <w:r w:rsidR="00943928" w:rsidRPr="004355FD">
          <w:rPr>
            <w:rStyle w:val="Hyperlink"/>
          </w:rPr>
          <w:t>https://www.hcourt.gov.au/about/the-building</w:t>
        </w:r>
      </w:hyperlink>
    </w:p>
  </w:footnote>
  <w:footnote w:id="22">
    <w:p w14:paraId="5F266102" w14:textId="170BA905" w:rsidR="00B30AE2" w:rsidRPr="00B30AE2" w:rsidRDefault="00B30AE2">
      <w:pPr>
        <w:pStyle w:val="FootnoteText"/>
      </w:pPr>
      <w:r>
        <w:rPr>
          <w:rStyle w:val="FootnoteReference"/>
        </w:rPr>
        <w:footnoteRef/>
      </w:r>
      <w:r>
        <w:t xml:space="preserve"> </w:t>
      </w:r>
      <w:r>
        <w:tab/>
        <w:t xml:space="preserve">See PACER, </w:t>
      </w:r>
      <w:r>
        <w:rPr>
          <w:i/>
          <w:iCs/>
        </w:rPr>
        <w:t xml:space="preserve">Parliament &amp; Civics Education Rebate </w:t>
      </w:r>
      <w:r>
        <w:t>(2022) available at &lt;</w:t>
      </w:r>
      <w:r w:rsidRPr="00B30AE2">
        <w:t>https://www.pacer.org.au/</w:t>
      </w:r>
      <w:r>
        <w:t>&gt;.</w:t>
      </w:r>
    </w:p>
  </w:footnote>
  <w:footnote w:id="23">
    <w:p w14:paraId="6A4B02F8" w14:textId="2DF3CD14" w:rsidR="005554D3" w:rsidRPr="00115D8F" w:rsidRDefault="005554D3">
      <w:pPr>
        <w:pStyle w:val="FootnoteText"/>
      </w:pPr>
      <w:r w:rsidRPr="00115D8F">
        <w:rPr>
          <w:rStyle w:val="FootnoteReference"/>
          <w:sz w:val="26"/>
        </w:rPr>
        <w:footnoteRef/>
      </w:r>
      <w:r w:rsidRPr="00115D8F">
        <w:t xml:space="preserve"> </w:t>
      </w:r>
      <w:r w:rsidRPr="00115D8F">
        <w:tab/>
        <w:t xml:space="preserve">High Court of Australia, </w:t>
      </w:r>
      <w:r w:rsidRPr="00115D8F">
        <w:rPr>
          <w:i/>
          <w:iCs/>
        </w:rPr>
        <w:t>Annual Report 2020-21</w:t>
      </w:r>
      <w:r w:rsidRPr="00115D8F">
        <w:t xml:space="preserve"> (2021) at 24.</w:t>
      </w:r>
    </w:p>
  </w:footnote>
  <w:footnote w:id="24">
    <w:p w14:paraId="749FB473" w14:textId="615691E0" w:rsidR="007C06C9" w:rsidRPr="008D5C25" w:rsidRDefault="007C06C9">
      <w:pPr>
        <w:pStyle w:val="FootnoteText"/>
      </w:pPr>
      <w:r>
        <w:rPr>
          <w:rStyle w:val="FootnoteReference"/>
        </w:rPr>
        <w:footnoteRef/>
      </w:r>
      <w:r>
        <w:t xml:space="preserve"> </w:t>
      </w:r>
      <w:r>
        <w:tab/>
      </w:r>
      <w:r w:rsidR="008D5C25">
        <w:t xml:space="preserve">Constitution Education Fund, </w:t>
      </w:r>
      <w:r w:rsidR="008D5C25">
        <w:rPr>
          <w:i/>
          <w:iCs/>
        </w:rPr>
        <w:t>The Constitution Education Fund Strategic Plan 2021-22</w:t>
      </w:r>
      <w:r w:rsidR="008D5C25">
        <w:t xml:space="preserve"> (2022) available at &lt;</w:t>
      </w:r>
      <w:r w:rsidR="008D5C25" w:rsidRPr="008D5C25">
        <w:t>http://cefa.org.au/constitution-education-fund-strategic-plan-2021-2022</w:t>
      </w:r>
      <w:r w:rsidR="008D5C25">
        <w:t>&gt;.</w:t>
      </w:r>
    </w:p>
  </w:footnote>
  <w:footnote w:id="25">
    <w:p w14:paraId="18FECAE8" w14:textId="5B7BC21C" w:rsidR="006F3A6F" w:rsidRPr="006F3A6F" w:rsidRDefault="006F3A6F">
      <w:pPr>
        <w:pStyle w:val="FootnoteText"/>
      </w:pPr>
      <w:r>
        <w:rPr>
          <w:rStyle w:val="FootnoteReference"/>
        </w:rPr>
        <w:footnoteRef/>
      </w:r>
      <w:r>
        <w:t xml:space="preserve"> </w:t>
      </w:r>
      <w:r>
        <w:tab/>
        <w:t xml:space="preserve">See Australian Constitution Centre, </w:t>
      </w:r>
      <w:r>
        <w:rPr>
          <w:i/>
          <w:iCs/>
        </w:rPr>
        <w:t>About the Educational Australian Constitution Centre</w:t>
      </w:r>
      <w:r>
        <w:t xml:space="preserve"> (2022) available at &lt;</w:t>
      </w:r>
      <w:r w:rsidRPr="006F3A6F">
        <w:t>http://www.australianconstitutioncentre.org.au/about-us.html</w:t>
      </w:r>
      <w:r>
        <w:t>&gt;.</w:t>
      </w:r>
    </w:p>
  </w:footnote>
  <w:footnote w:id="26">
    <w:p w14:paraId="63B2C7C0" w14:textId="77777777" w:rsidR="0028327F" w:rsidRPr="00D36CB2" w:rsidRDefault="0028327F" w:rsidP="0028327F">
      <w:pPr>
        <w:pStyle w:val="FootnoteText"/>
      </w:pPr>
      <w:r>
        <w:rPr>
          <w:rStyle w:val="FootnoteReference"/>
        </w:rPr>
        <w:footnoteRef/>
      </w:r>
      <w:r>
        <w:t xml:space="preserve"> </w:t>
      </w:r>
      <w:r>
        <w:tab/>
        <w:t xml:space="preserve">See, for example, an activity booklet featuring Harry the Emu and Charlie the Kangaroo: High Court of Australia, </w:t>
      </w:r>
      <w:r>
        <w:rPr>
          <w:i/>
          <w:iCs/>
        </w:rPr>
        <w:t>Primary Students' Activities</w:t>
      </w:r>
      <w:r>
        <w:t>, available at &lt;</w:t>
      </w:r>
      <w:r w:rsidRPr="00D36CB2">
        <w:t>https://cdn.hcourt.gov.au/assets/education/Student-Activity-Book.pdf</w:t>
      </w:r>
      <w:r>
        <w:t>&gt;.</w:t>
      </w:r>
    </w:p>
  </w:footnote>
  <w:footnote w:id="27">
    <w:p w14:paraId="21886B72" w14:textId="4272DE43" w:rsidR="006D4BF4" w:rsidRPr="00115D8F" w:rsidRDefault="006D4BF4">
      <w:pPr>
        <w:pStyle w:val="FootnoteText"/>
      </w:pPr>
      <w:r w:rsidRPr="00115D8F">
        <w:rPr>
          <w:rStyle w:val="FootnoteReference"/>
          <w:sz w:val="26"/>
        </w:rPr>
        <w:footnoteRef/>
      </w:r>
      <w:r w:rsidRPr="00115D8F">
        <w:t xml:space="preserve"> </w:t>
      </w:r>
      <w:r w:rsidRPr="00115D8F">
        <w:tab/>
        <w:t xml:space="preserve">High Court of Australia, </w:t>
      </w:r>
      <w:r w:rsidRPr="00115D8F">
        <w:rPr>
          <w:i/>
          <w:iCs/>
        </w:rPr>
        <w:t xml:space="preserve">Annual Report 2020-21 </w:t>
      </w:r>
      <w:r w:rsidRPr="00115D8F">
        <w:t xml:space="preserve">(2021) at 25. </w:t>
      </w:r>
    </w:p>
  </w:footnote>
  <w:footnote w:id="28">
    <w:p w14:paraId="0A2A4165" w14:textId="26E94772" w:rsidR="00F165FC" w:rsidRPr="00DE7C70" w:rsidRDefault="00F165FC">
      <w:pPr>
        <w:pStyle w:val="FootnoteText"/>
      </w:pPr>
      <w:r>
        <w:rPr>
          <w:rStyle w:val="FootnoteReference"/>
        </w:rPr>
        <w:footnoteRef/>
      </w:r>
      <w:r>
        <w:t xml:space="preserve"> </w:t>
      </w:r>
      <w:r w:rsidR="00DE7C70">
        <w:tab/>
        <w:t xml:space="preserve">Federal Court of Australia, </w:t>
      </w:r>
      <w:r w:rsidR="00DE7C70">
        <w:rPr>
          <w:i/>
          <w:iCs/>
        </w:rPr>
        <w:t xml:space="preserve">Annual Report 2020-2021 </w:t>
      </w:r>
      <w:r w:rsidR="00DE7C70">
        <w:t xml:space="preserve">(2021) at 65. </w:t>
      </w:r>
    </w:p>
  </w:footnote>
  <w:footnote w:id="29">
    <w:p w14:paraId="43BFC7C5" w14:textId="20F0ABE2" w:rsidR="00FF084C" w:rsidRPr="00B47B80" w:rsidRDefault="00FF084C">
      <w:pPr>
        <w:pStyle w:val="FootnoteText"/>
      </w:pPr>
      <w:r>
        <w:rPr>
          <w:rStyle w:val="FootnoteReference"/>
        </w:rPr>
        <w:footnoteRef/>
      </w:r>
      <w:r>
        <w:t xml:space="preserve"> </w:t>
      </w:r>
      <w:r>
        <w:tab/>
      </w:r>
      <w:r w:rsidR="00487080">
        <w:t xml:space="preserve">Sir Harry Gibbs Legal Heritage Centre, </w:t>
      </w:r>
      <w:r w:rsidR="00487080">
        <w:rPr>
          <w:i/>
          <w:iCs/>
        </w:rPr>
        <w:t xml:space="preserve">Schools program </w:t>
      </w:r>
      <w:r w:rsidR="00487080">
        <w:t>(2022) available at &lt;</w:t>
      </w:r>
      <w:r w:rsidR="00487080" w:rsidRPr="00773426">
        <w:t>https://legalheritage.sclqld.org.au/schools-program</w:t>
      </w:r>
      <w:r w:rsidR="00487080">
        <w:t>&gt;</w:t>
      </w:r>
      <w:r w:rsidR="00B47B80">
        <w:t>.</w:t>
      </w:r>
    </w:p>
  </w:footnote>
  <w:footnote w:id="30">
    <w:p w14:paraId="4167C32C" w14:textId="4BCA73C3" w:rsidR="00940B46" w:rsidRPr="008D6298" w:rsidRDefault="00940B46">
      <w:pPr>
        <w:pStyle w:val="FootnoteText"/>
      </w:pPr>
      <w:r>
        <w:rPr>
          <w:rStyle w:val="FootnoteReference"/>
        </w:rPr>
        <w:footnoteRef/>
      </w:r>
      <w:r>
        <w:t xml:space="preserve"> </w:t>
      </w:r>
      <w:r>
        <w:tab/>
      </w:r>
      <w:r w:rsidR="009D0F66">
        <w:t xml:space="preserve">See, for example, </w:t>
      </w:r>
      <w:r w:rsidR="003B60F9">
        <w:t xml:space="preserve">Rule of Law Education Centre, </w:t>
      </w:r>
      <w:r w:rsidR="003B60F9">
        <w:rPr>
          <w:i/>
          <w:iCs/>
        </w:rPr>
        <w:t>Court Education</w:t>
      </w:r>
      <w:r w:rsidR="003B60F9">
        <w:t xml:space="preserve"> (2022) available at </w:t>
      </w:r>
      <w:r w:rsidR="00AF372B">
        <w:t>&lt;</w:t>
      </w:r>
      <w:r w:rsidR="003B60F9" w:rsidRPr="00793891">
        <w:t>https://www.ruleoflaw.org.au/court-education/</w:t>
      </w:r>
      <w:r w:rsidR="00AF372B">
        <w:t>&gt;</w:t>
      </w:r>
      <w:r w:rsidR="00487080">
        <w:t xml:space="preserve">; </w:t>
      </w:r>
      <w:r>
        <w:t xml:space="preserve">Court Services Victoria, </w:t>
      </w:r>
      <w:r>
        <w:rPr>
          <w:i/>
          <w:iCs/>
        </w:rPr>
        <w:t xml:space="preserve">Court Education Program </w:t>
      </w:r>
      <w:r>
        <w:t>(2022) available at &lt;</w:t>
      </w:r>
      <w:r w:rsidRPr="00540803">
        <w:t>https://www.courts.vic.gov.au/resources/court-education-program</w:t>
      </w:r>
      <w:r>
        <w:t xml:space="preserve">&gt;; Courts Administration Authority of South Australia, </w:t>
      </w:r>
      <w:r>
        <w:rPr>
          <w:i/>
          <w:iCs/>
        </w:rPr>
        <w:t xml:space="preserve">School visits </w:t>
      </w:r>
      <w:r>
        <w:t>(2022) available at &lt;</w:t>
      </w:r>
      <w:r w:rsidRPr="00ED4D6E">
        <w:t>https://legalheritage.sclqld.org.au/schools-program</w:t>
      </w:r>
      <w:r>
        <w:t xml:space="preserve">&gt;; Supreme Court of Tasmania, </w:t>
      </w:r>
      <w:r>
        <w:rPr>
          <w:i/>
          <w:iCs/>
        </w:rPr>
        <w:t xml:space="preserve">Tours </w:t>
      </w:r>
      <w:r>
        <w:t>(2022) available at &lt;</w:t>
      </w:r>
      <w:r w:rsidRPr="000F46F0">
        <w:t>https://www.supremecourt.tas.gov.au/the-court/attending-court/tours/</w:t>
      </w:r>
      <w:r>
        <w:t xml:space="preserve">&gt;; Law Society of Western Australia, </w:t>
      </w:r>
      <w:r>
        <w:rPr>
          <w:i/>
          <w:iCs/>
        </w:rPr>
        <w:t xml:space="preserve">Francis Burt Law Education Programme </w:t>
      </w:r>
      <w:r>
        <w:t>(2022) available at &lt;</w:t>
      </w:r>
      <w:r w:rsidRPr="00FF51B8">
        <w:t>https://www.lawsocietywa.asn.au/francis-burt-law-education-programme-2/#francis-burt-law-education-programme</w:t>
      </w:r>
      <w:r>
        <w:t xml:space="preserve">&gt;; Supreme Court of the Northern Territory, </w:t>
      </w:r>
      <w:r>
        <w:rPr>
          <w:i/>
          <w:iCs/>
        </w:rPr>
        <w:t xml:space="preserve">Teachers/Students </w:t>
      </w:r>
      <w:r>
        <w:t>(2022) available at &lt;</w:t>
      </w:r>
      <w:r w:rsidRPr="00940B46">
        <w:t>https://supremecourt.nt.gov.au/teachers-and-students</w:t>
      </w:r>
      <w:r>
        <w:t xml:space="preserve">&gt;; </w:t>
      </w:r>
      <w:r w:rsidR="008D6298">
        <w:t xml:space="preserve">ACT Courts, </w:t>
      </w:r>
      <w:r w:rsidR="008D6298">
        <w:rPr>
          <w:i/>
          <w:iCs/>
        </w:rPr>
        <w:t xml:space="preserve">Education resources </w:t>
      </w:r>
      <w:r w:rsidR="008D6298">
        <w:t>(2022) available at &lt;</w:t>
      </w:r>
      <w:r w:rsidR="008D6298" w:rsidRPr="008D6298">
        <w:t>https://www.courts.act.gov.au/about-the-courts/education-resources</w:t>
      </w:r>
      <w:r w:rsidR="008D6298">
        <w:t>&gt;.</w:t>
      </w:r>
    </w:p>
  </w:footnote>
  <w:footnote w:id="31">
    <w:p w14:paraId="45C55965" w14:textId="77F5C07A" w:rsidR="003B6781" w:rsidRPr="00FB091D" w:rsidRDefault="003B6781">
      <w:pPr>
        <w:pStyle w:val="FootnoteText"/>
      </w:pPr>
      <w:r>
        <w:rPr>
          <w:rStyle w:val="FootnoteReference"/>
        </w:rPr>
        <w:footnoteRef/>
      </w:r>
      <w:r>
        <w:t xml:space="preserve"> </w:t>
      </w:r>
      <w:r>
        <w:tab/>
        <w:t xml:space="preserve">County </w:t>
      </w:r>
      <w:r w:rsidR="00FB091D">
        <w:t xml:space="preserve">Court of Victoria, </w:t>
      </w:r>
      <w:r w:rsidR="00FB091D">
        <w:rPr>
          <w:i/>
          <w:iCs/>
        </w:rPr>
        <w:t>Justice in Action: A Study Guide for Teachers</w:t>
      </w:r>
      <w:r w:rsidR="00FB091D">
        <w:t xml:space="preserve"> (2018) available at &lt;</w:t>
      </w:r>
      <w:r w:rsidR="00FB091D" w:rsidRPr="00FB091D">
        <w:t>https://www.countycourt.vic.gov.au/files/documents/2018-10/justice-action-study-guide-teachers.pdf</w:t>
      </w:r>
      <w:r w:rsidR="00FB091D">
        <w:t xml:space="preserve">&gt;. Charles names this resource as a "best practice" example in curriculum and learning outcomes in court education: </w:t>
      </w:r>
      <w:r w:rsidR="00FB091D" w:rsidRPr="00115D8F">
        <w:rPr>
          <w:i/>
          <w:iCs/>
        </w:rPr>
        <w:t xml:space="preserve">Court Education Project 2019-2021: Churchill Fellowship Report </w:t>
      </w:r>
      <w:r w:rsidR="00FB091D" w:rsidRPr="00115D8F">
        <w:t>(2021)</w:t>
      </w:r>
      <w:r w:rsidR="00FB091D">
        <w:t xml:space="preserve"> at 42-43.</w:t>
      </w:r>
    </w:p>
  </w:footnote>
  <w:footnote w:id="32">
    <w:p w14:paraId="55DC6077" w14:textId="162769C2" w:rsidR="0046666C" w:rsidRDefault="0046666C">
      <w:pPr>
        <w:pStyle w:val="FootnoteText"/>
      </w:pPr>
      <w:r>
        <w:rPr>
          <w:rStyle w:val="FootnoteReference"/>
        </w:rPr>
        <w:footnoteRef/>
      </w:r>
      <w:r>
        <w:t xml:space="preserve"> </w:t>
      </w:r>
      <w:r>
        <w:tab/>
      </w:r>
      <w:r w:rsidR="00AF372B">
        <w:t>A</w:t>
      </w:r>
      <w:r>
        <w:t xml:space="preserve">t least in the High Court, these links are incidental – that is, the Court does not, through its educational offerings, </w:t>
      </w:r>
      <w:r w:rsidR="00BA2071">
        <w:t>deliver any "curriculum" per se, that being an executive</w:t>
      </w:r>
      <w:r w:rsidR="00601BAF">
        <w:t xml:space="preserve"> and not a judicial</w:t>
      </w:r>
      <w:r w:rsidR="00BA2071">
        <w:t xml:space="preserve"> function.</w:t>
      </w:r>
    </w:p>
  </w:footnote>
  <w:footnote w:id="33">
    <w:p w14:paraId="53504FBC" w14:textId="647FE9C1" w:rsidR="00141662" w:rsidRDefault="00141662">
      <w:pPr>
        <w:pStyle w:val="FootnoteText"/>
      </w:pPr>
      <w:r>
        <w:rPr>
          <w:rStyle w:val="FootnoteReference"/>
        </w:rPr>
        <w:footnoteRef/>
      </w:r>
      <w:r>
        <w:t xml:space="preserve"> </w:t>
      </w:r>
      <w:r>
        <w:tab/>
      </w:r>
      <w:r w:rsidRPr="00115D8F">
        <w:t xml:space="preserve">Charles, </w:t>
      </w:r>
      <w:r w:rsidRPr="00115D8F">
        <w:rPr>
          <w:i/>
          <w:iCs/>
        </w:rPr>
        <w:t xml:space="preserve">Court Education Project 2019-2021: Churchill Fellowship Report </w:t>
      </w:r>
      <w:r w:rsidRPr="00115D8F">
        <w:t>(2021)</w:t>
      </w:r>
      <w:r>
        <w:t xml:space="preserve"> at 23-24.</w:t>
      </w:r>
    </w:p>
  </w:footnote>
  <w:footnote w:id="34">
    <w:p w14:paraId="5641CA43" w14:textId="04EC2621" w:rsidR="0077409F" w:rsidRPr="0077409F" w:rsidRDefault="0077409F">
      <w:pPr>
        <w:pStyle w:val="FootnoteText"/>
      </w:pPr>
      <w:r>
        <w:rPr>
          <w:rStyle w:val="FootnoteReference"/>
        </w:rPr>
        <w:footnoteRef/>
      </w:r>
      <w:r>
        <w:t xml:space="preserve"> </w:t>
      </w:r>
      <w:r>
        <w:tab/>
        <w:t xml:space="preserve">See Law Society of Western Australia, </w:t>
      </w:r>
      <w:r>
        <w:rPr>
          <w:i/>
          <w:iCs/>
        </w:rPr>
        <w:t xml:space="preserve">Sir Ronald Wilson Lecture: Kids in Jail - Raising the Age of Criminal Responsibility in Australia </w:t>
      </w:r>
      <w:r>
        <w:t>(25 August 2020) available at &lt;</w:t>
      </w:r>
      <w:r w:rsidRPr="0077409F">
        <w:t>https://www.youtube.com/watch?v=DHjjDLX0ukI</w:t>
      </w:r>
      <w:r>
        <w:t xml:space="preserve">&gt;; </w:t>
      </w:r>
      <w:r w:rsidR="00B36B9F">
        <w:t>see also accompanying slides at &lt;</w:t>
      </w:r>
      <w:r w:rsidR="00B36B9F" w:rsidRPr="00B36B9F">
        <w:t>https://www.lawsocietywa.asn.au/wp-content/uploads/2020/08/2020AUG18-Powerpoint-SRWL-Pauline-Wright.pdf</w:t>
      </w:r>
      <w:r w:rsidR="00B36B9F">
        <w:t>&gt;</w:t>
      </w:r>
      <w:r>
        <w:t>.</w:t>
      </w:r>
    </w:p>
  </w:footnote>
  <w:footnote w:id="35">
    <w:p w14:paraId="62DC30BB" w14:textId="77777777" w:rsidR="00C87F9C" w:rsidRPr="00CF2C58" w:rsidRDefault="00C87F9C" w:rsidP="00C87F9C">
      <w:pPr>
        <w:pStyle w:val="FootnoteText"/>
      </w:pPr>
      <w:r>
        <w:rPr>
          <w:rStyle w:val="FootnoteReference"/>
        </w:rPr>
        <w:footnoteRef/>
      </w:r>
      <w:r>
        <w:t xml:space="preserve"> </w:t>
      </w:r>
      <w:r>
        <w:tab/>
        <w:t xml:space="preserve">Wood and Breach, "Assessing the impact of a high impact practice: Implementing a criminal justice shared learning experience using the true crime podcast </w:t>
      </w:r>
      <w:r>
        <w:rPr>
          <w:i/>
          <w:iCs/>
        </w:rPr>
        <w:t>Serial</w:t>
      </w:r>
      <w:r>
        <w:t xml:space="preserve">" (2021) 32 </w:t>
      </w:r>
      <w:r>
        <w:rPr>
          <w:i/>
          <w:iCs/>
        </w:rPr>
        <w:t xml:space="preserve">Journal of Criminal Justice Education </w:t>
      </w:r>
      <w:r>
        <w:t>464 at 465.</w:t>
      </w:r>
    </w:p>
  </w:footnote>
  <w:footnote w:id="36">
    <w:p w14:paraId="49862756" w14:textId="77777777" w:rsidR="00E14307" w:rsidRPr="001B68AC" w:rsidRDefault="00E14307" w:rsidP="00E14307">
      <w:pPr>
        <w:pStyle w:val="FootnoteText"/>
        <w:rPr>
          <w:i/>
          <w:iCs/>
        </w:rPr>
      </w:pPr>
      <w:r>
        <w:rPr>
          <w:rStyle w:val="FootnoteReference"/>
        </w:rPr>
        <w:footnoteRef/>
      </w:r>
      <w:r>
        <w:t xml:space="preserve"> </w:t>
      </w:r>
      <w:r>
        <w:tab/>
        <w:t xml:space="preserve">See Supreme Court of Victoria, </w:t>
      </w:r>
      <w:r>
        <w:rPr>
          <w:i/>
          <w:iCs/>
        </w:rPr>
        <w:t>Gertie's Law Podcast</w:t>
      </w:r>
      <w:r>
        <w:t xml:space="preserve"> (2022) available at &lt;</w:t>
      </w:r>
      <w:r w:rsidRPr="00B02B89">
        <w:t>https://www.supremecourt.vic.gov.au/about-the-court/multimedia-on-demand/gerties-law-podcast</w:t>
      </w:r>
      <w:r>
        <w:t xml:space="preserve">&gt;. </w:t>
      </w:r>
    </w:p>
  </w:footnote>
  <w:footnote w:id="37">
    <w:p w14:paraId="3A9FE16A" w14:textId="77777777" w:rsidR="00E14307" w:rsidRPr="00E03407" w:rsidRDefault="00E14307" w:rsidP="00E14307">
      <w:pPr>
        <w:pStyle w:val="FootnoteText"/>
      </w:pPr>
      <w:r>
        <w:rPr>
          <w:rStyle w:val="FootnoteReference"/>
        </w:rPr>
        <w:footnoteRef/>
      </w:r>
      <w:r>
        <w:t xml:space="preserve"> </w:t>
      </w:r>
      <w:r>
        <w:tab/>
        <w:t xml:space="preserve">See High Court of Australia, </w:t>
      </w:r>
      <w:r>
        <w:rPr>
          <w:i/>
          <w:iCs/>
        </w:rPr>
        <w:t xml:space="preserve">Podcast Part 1 - The Vision </w:t>
      </w:r>
      <w:r>
        <w:t>(2022) and links to subsequent episodes, available at &lt;</w:t>
      </w:r>
      <w:r w:rsidRPr="00E03407">
        <w:t>https://www.hcourt.gov.au/about/podcast-1</w:t>
      </w:r>
      <w:r>
        <w:t>&gt;.</w:t>
      </w:r>
    </w:p>
  </w:footnote>
  <w:footnote w:id="38">
    <w:p w14:paraId="6D87695E" w14:textId="781C823D" w:rsidR="00AD5D18" w:rsidRDefault="00AD5D18">
      <w:pPr>
        <w:pStyle w:val="FootnoteText"/>
      </w:pPr>
      <w:r>
        <w:rPr>
          <w:rStyle w:val="FootnoteReference"/>
        </w:rPr>
        <w:footnoteRef/>
      </w:r>
      <w:r>
        <w:t xml:space="preserve"> </w:t>
      </w:r>
      <w:r>
        <w:tab/>
        <w:t>Presently available at &lt;</w:t>
      </w:r>
      <w:r w:rsidRPr="00AD5D18">
        <w:t>https://discover.abc.net.au/index.html#/?query=section%2071&amp;page=1</w:t>
      </w:r>
      <w:r>
        <w:t>&gt;</w:t>
      </w:r>
    </w:p>
  </w:footnote>
  <w:footnote w:id="39">
    <w:p w14:paraId="1E2AD447" w14:textId="5F3EFE45" w:rsidR="00C75A74" w:rsidRDefault="00C75A74">
      <w:pPr>
        <w:pStyle w:val="FootnoteText"/>
      </w:pPr>
      <w:r>
        <w:rPr>
          <w:rStyle w:val="FootnoteReference"/>
        </w:rPr>
        <w:footnoteRef/>
      </w:r>
      <w:r>
        <w:t xml:space="preserve"> </w:t>
      </w:r>
      <w:r w:rsidR="00912AD7">
        <w:tab/>
        <w:t>Presently available at &lt;</w:t>
      </w:r>
      <w:r w:rsidR="00912AD7" w:rsidRPr="00912AD7">
        <w:t>https://www.wnycstudios.org/podcasts/radiolabmoreperfect</w:t>
      </w:r>
      <w:r w:rsidR="00912AD7">
        <w:t xml:space="preserve">&gt; </w:t>
      </w:r>
    </w:p>
  </w:footnote>
  <w:footnote w:id="40">
    <w:p w14:paraId="30F63CF4" w14:textId="3A588B78" w:rsidR="00504CFE" w:rsidRDefault="00504CFE">
      <w:pPr>
        <w:pStyle w:val="FootnoteText"/>
      </w:pPr>
      <w:r>
        <w:rPr>
          <w:rStyle w:val="FootnoteReference"/>
        </w:rPr>
        <w:footnoteRef/>
      </w:r>
      <w:r>
        <w:t xml:space="preserve"> </w:t>
      </w:r>
      <w:r>
        <w:tab/>
        <w:t>Presently available at &lt;</w:t>
      </w:r>
      <w:r w:rsidRPr="00504CFE">
        <w:t>https://www.birdseyeviewpodcast.net/</w:t>
      </w:r>
      <w:r>
        <w:t>&gt;</w:t>
      </w:r>
    </w:p>
  </w:footnote>
  <w:footnote w:id="41">
    <w:p w14:paraId="2F98B4C9" w14:textId="002BE367" w:rsidR="009365D3" w:rsidRPr="00115D8F" w:rsidRDefault="009365D3">
      <w:pPr>
        <w:pStyle w:val="FootnoteText"/>
      </w:pPr>
      <w:r w:rsidRPr="00115D8F">
        <w:rPr>
          <w:rStyle w:val="FootnoteReference"/>
          <w:sz w:val="26"/>
        </w:rPr>
        <w:footnoteRef/>
      </w:r>
      <w:r w:rsidRPr="00115D8F">
        <w:t xml:space="preserve"> </w:t>
      </w:r>
      <w:r w:rsidRPr="00115D8F">
        <w:tab/>
      </w:r>
      <w:r w:rsidR="00B75FCA" w:rsidRPr="00115D8F">
        <w:t xml:space="preserve">Proceeding MLG 35 of 2022 in the Federal Circuit and Family Court of Australia. </w:t>
      </w:r>
      <w:r w:rsidRPr="00115D8F">
        <w:t>See</w:t>
      </w:r>
      <w:r w:rsidR="00B75FCA" w:rsidRPr="00115D8F">
        <w:t xml:space="preserve"> also</w:t>
      </w:r>
      <w:r w:rsidRPr="00115D8F">
        <w:t xml:space="preserve"> </w:t>
      </w:r>
      <w:r w:rsidRPr="00115D8F">
        <w:rPr>
          <w:i/>
          <w:iCs/>
        </w:rPr>
        <w:t xml:space="preserve">Djokovic v Minister for Immigration, Citizenship, Migrant Services and Multicultural Affairs </w:t>
      </w:r>
      <w:r w:rsidRPr="00115D8F">
        <w:t>[2022] FedCFamC2G 7.</w:t>
      </w:r>
    </w:p>
  </w:footnote>
  <w:footnote w:id="42">
    <w:p w14:paraId="55866F1A" w14:textId="37477FAD" w:rsidR="009365D3" w:rsidRPr="00115D8F" w:rsidRDefault="009365D3">
      <w:pPr>
        <w:pStyle w:val="FootnoteText"/>
        <w:rPr>
          <w:i/>
          <w:iCs/>
        </w:rPr>
      </w:pPr>
      <w:r w:rsidRPr="00115D8F">
        <w:rPr>
          <w:rStyle w:val="FootnoteReference"/>
          <w:sz w:val="26"/>
        </w:rPr>
        <w:footnoteRef/>
      </w:r>
      <w:r w:rsidRPr="00115D8F">
        <w:t xml:space="preserve"> </w:t>
      </w:r>
      <w:r w:rsidRPr="00115D8F">
        <w:tab/>
        <w:t>Proceeding VID 18 of 2022 in the Federal Court of Australia. See</w:t>
      </w:r>
      <w:r w:rsidR="00B75FCA" w:rsidRPr="00115D8F">
        <w:t xml:space="preserve"> also</w:t>
      </w:r>
      <w:r w:rsidRPr="00115D8F">
        <w:t xml:space="preserve"> </w:t>
      </w:r>
      <w:r w:rsidRPr="00115D8F">
        <w:rPr>
          <w:i/>
          <w:iCs/>
        </w:rPr>
        <w:t xml:space="preserve">Djokovic v Minister for Immigration, Citizenship, Migrant Services and Multicultural Affairs </w:t>
      </w:r>
      <w:r w:rsidRPr="00115D8F">
        <w:t>[2022] FCAFC 3.</w:t>
      </w:r>
    </w:p>
  </w:footnote>
  <w:footnote w:id="43">
    <w:p w14:paraId="7A5DE3CC" w14:textId="11989A3D" w:rsidR="009247CC" w:rsidRPr="00115D8F" w:rsidRDefault="009247CC">
      <w:pPr>
        <w:pStyle w:val="FootnoteText"/>
      </w:pPr>
      <w:r w:rsidRPr="00115D8F">
        <w:rPr>
          <w:rStyle w:val="FootnoteReference"/>
          <w:sz w:val="26"/>
        </w:rPr>
        <w:footnoteRef/>
      </w:r>
      <w:r w:rsidRPr="00115D8F">
        <w:t xml:space="preserve"> </w:t>
      </w:r>
      <w:r w:rsidRPr="00115D8F">
        <w:tab/>
        <w:t>Proceedings NSD</w:t>
      </w:r>
      <w:r w:rsidR="00105E2E" w:rsidRPr="00115D8F">
        <w:t xml:space="preserve"> 1440,</w:t>
      </w:r>
      <w:r w:rsidRPr="00115D8F">
        <w:t xml:space="preserve"> 1485, 1486, 1487</w:t>
      </w:r>
      <w:r w:rsidR="00105E2E" w:rsidRPr="00115D8F">
        <w:t xml:space="preserve"> and</w:t>
      </w:r>
      <w:r w:rsidRPr="00115D8F">
        <w:t xml:space="preserve"> 1826 of 2018</w:t>
      </w:r>
      <w:r w:rsidR="00105E2E" w:rsidRPr="00115D8F">
        <w:t xml:space="preserve"> in the Federal Court of Australia. Judgment in those matters is presently reserved.</w:t>
      </w:r>
    </w:p>
  </w:footnote>
  <w:footnote w:id="44">
    <w:p w14:paraId="4155060C" w14:textId="698192F6" w:rsidR="00AF2F7A" w:rsidRPr="00115D8F" w:rsidRDefault="00AF2F7A">
      <w:pPr>
        <w:pStyle w:val="FootnoteText"/>
      </w:pPr>
      <w:r w:rsidRPr="00115D8F">
        <w:rPr>
          <w:rStyle w:val="FootnoteReference"/>
          <w:sz w:val="26"/>
        </w:rPr>
        <w:footnoteRef/>
      </w:r>
      <w:r w:rsidRPr="00115D8F">
        <w:t xml:space="preserve"> </w:t>
      </w:r>
      <w:r w:rsidRPr="00115D8F">
        <w:tab/>
        <w:t xml:space="preserve">Proceeding 2018/37257 in the Supreme Court of New South Wales. See, in particular, </w:t>
      </w:r>
      <w:r w:rsidR="001044F6" w:rsidRPr="00115D8F">
        <w:rPr>
          <w:i/>
          <w:iCs/>
        </w:rPr>
        <w:t xml:space="preserve">R v Dawson </w:t>
      </w:r>
      <w:r w:rsidR="001044F6" w:rsidRPr="00115D8F">
        <w:t>[2022] NSWSC 1131.</w:t>
      </w:r>
    </w:p>
  </w:footnote>
  <w:footnote w:id="45">
    <w:p w14:paraId="4AD349E8" w14:textId="0BE73DB0" w:rsidR="00544184" w:rsidRPr="00276AF5" w:rsidRDefault="00544184">
      <w:pPr>
        <w:pStyle w:val="FootnoteText"/>
      </w:pPr>
      <w:r>
        <w:rPr>
          <w:rStyle w:val="FootnoteReference"/>
        </w:rPr>
        <w:footnoteRef/>
      </w:r>
      <w:r>
        <w:t xml:space="preserve"> </w:t>
      </w:r>
      <w:r>
        <w:tab/>
        <w:t>Proceedings 2021/249601, 2021/252</w:t>
      </w:r>
      <w:r w:rsidR="00276AF5">
        <w:t xml:space="preserve">587 in the Supreme Court of New South Wales. See also </w:t>
      </w:r>
      <w:r w:rsidR="00276AF5">
        <w:rPr>
          <w:i/>
          <w:iCs/>
        </w:rPr>
        <w:t xml:space="preserve">Kassam v Hazzard </w:t>
      </w:r>
      <w:r w:rsidR="00276AF5">
        <w:t>[2021] NSWSC 1320.</w:t>
      </w:r>
    </w:p>
  </w:footnote>
  <w:footnote w:id="46">
    <w:p w14:paraId="64FC1216" w14:textId="7AE129CC" w:rsidR="0077558B" w:rsidRPr="0077558B" w:rsidRDefault="0077558B">
      <w:pPr>
        <w:pStyle w:val="FootnoteText"/>
      </w:pPr>
      <w:r>
        <w:rPr>
          <w:rStyle w:val="FootnoteReference"/>
        </w:rPr>
        <w:footnoteRef/>
      </w:r>
      <w:r>
        <w:t xml:space="preserve"> </w:t>
      </w:r>
      <w:r>
        <w:tab/>
        <w:t xml:space="preserve">"One million view NSW COVID-19 vaccine mandate case", </w:t>
      </w:r>
      <w:r>
        <w:rPr>
          <w:i/>
          <w:iCs/>
        </w:rPr>
        <w:t xml:space="preserve">SBS News </w:t>
      </w:r>
      <w:r>
        <w:t>(15 October 2021) available at &lt;</w:t>
      </w:r>
      <w:r w:rsidRPr="0077558B">
        <w:t>https://www.sbs.com.au/news/article/one-million-view-nsw-covid-19-vaccine-mandate-case/nlx2soctr</w:t>
      </w:r>
      <w:r>
        <w:t>&gt;.</w:t>
      </w:r>
    </w:p>
  </w:footnote>
  <w:footnote w:id="47">
    <w:p w14:paraId="59E5E7A9" w14:textId="27A1B36E" w:rsidR="00EB7D36" w:rsidRPr="00EB7D36" w:rsidRDefault="00EB7D36">
      <w:pPr>
        <w:pStyle w:val="FootnoteText"/>
      </w:pPr>
      <w:r>
        <w:rPr>
          <w:rStyle w:val="FootnoteReference"/>
        </w:rPr>
        <w:footnoteRef/>
      </w:r>
      <w:r>
        <w:t xml:space="preserve"> </w:t>
      </w:r>
      <w:r>
        <w:tab/>
        <w:t xml:space="preserve">For an early rebuke of a proposal to televise court hearings in the United States, see Cedarquist, "Televising court proceedings, a plea for order in the court" (1961) 36 </w:t>
      </w:r>
      <w:r>
        <w:rPr>
          <w:i/>
          <w:iCs/>
        </w:rPr>
        <w:t>Notre Dame Law Review</w:t>
      </w:r>
      <w:r>
        <w:t xml:space="preserve"> 147.</w:t>
      </w:r>
    </w:p>
  </w:footnote>
  <w:footnote w:id="48">
    <w:p w14:paraId="47F9A290" w14:textId="15E07C7B" w:rsidR="00D621A4" w:rsidRPr="00D621A4" w:rsidRDefault="00D621A4">
      <w:pPr>
        <w:pStyle w:val="FootnoteText"/>
      </w:pPr>
      <w:r>
        <w:rPr>
          <w:rStyle w:val="FootnoteReference"/>
        </w:rPr>
        <w:footnoteRef/>
      </w:r>
      <w:r>
        <w:t xml:space="preserve"> </w:t>
      </w:r>
      <w:r>
        <w:tab/>
        <w:t>See, eg, Stepniak, "The broadcast of court proceedings in the internet age: The role</w:t>
      </w:r>
      <w:r w:rsidR="00AB6F8F">
        <w:t xml:space="preserve"> of courts</w:t>
      </w:r>
      <w:r>
        <w:t xml:space="preserve">" (2004) 85 </w:t>
      </w:r>
      <w:r>
        <w:rPr>
          <w:i/>
          <w:iCs/>
        </w:rPr>
        <w:t xml:space="preserve">Australian Law Reform Commission Reform Journal </w:t>
      </w:r>
      <w:r>
        <w:t xml:space="preserve">33. </w:t>
      </w:r>
    </w:p>
  </w:footnote>
  <w:footnote w:id="49">
    <w:p w14:paraId="3A943F60" w14:textId="414566B7" w:rsidR="00C20C0F" w:rsidRPr="007020ED" w:rsidRDefault="00C20C0F">
      <w:pPr>
        <w:pStyle w:val="FootnoteText"/>
      </w:pPr>
      <w:r>
        <w:rPr>
          <w:rStyle w:val="FootnoteReference"/>
        </w:rPr>
        <w:footnoteRef/>
      </w:r>
      <w:r>
        <w:t xml:space="preserve"> </w:t>
      </w:r>
      <w:r w:rsidR="007020ED">
        <w:tab/>
        <w:t xml:space="preserve">Jian Xu and Cong Liu, "How does courtroom broadcasting influence public confidence in justice? The mediation effect of vicarious interpersonal treatment" (2020) </w:t>
      </w:r>
      <w:r w:rsidR="007020ED">
        <w:rPr>
          <w:i/>
          <w:iCs/>
        </w:rPr>
        <w:t xml:space="preserve">Frontiers in Psychology </w:t>
      </w:r>
      <w:r w:rsidR="00D67FA8">
        <w:t>1.</w:t>
      </w:r>
    </w:p>
  </w:footnote>
  <w:footnote w:id="50">
    <w:p w14:paraId="728B4323" w14:textId="77777777" w:rsidR="00F02438" w:rsidRPr="00747E6C" w:rsidRDefault="00F02438" w:rsidP="00F02438">
      <w:pPr>
        <w:pStyle w:val="FootnoteText"/>
      </w:pPr>
      <w:r>
        <w:rPr>
          <w:rStyle w:val="FootnoteReference"/>
        </w:rPr>
        <w:footnoteRef/>
      </w:r>
      <w:r>
        <w:t xml:space="preserve"> </w:t>
      </w:r>
      <w:r>
        <w:tab/>
        <w:t xml:space="preserve">Schulz, "Views from Chambers: A discourse analysis of judicial speeches in Australia 1995-2006" (2009) 18 </w:t>
      </w:r>
      <w:r>
        <w:rPr>
          <w:i/>
          <w:iCs/>
        </w:rPr>
        <w:t>Journal of Judicial Administration</w:t>
      </w:r>
      <w:r>
        <w:t xml:space="preserve"> 144 at 154, citing Doyle, "Media relations and community education issues – Linking courts and tribunals with the community" (paper presented at the Sixteenth Annual AIJA Conference, Melbourne, 4-6 September 1998) at 3.</w:t>
      </w:r>
    </w:p>
  </w:footnote>
  <w:footnote w:id="51">
    <w:p w14:paraId="639B7AF1" w14:textId="77777777" w:rsidR="00F02438" w:rsidRDefault="00F02438" w:rsidP="00F02438">
      <w:pPr>
        <w:pStyle w:val="FootnoteText"/>
      </w:pPr>
      <w:r>
        <w:rPr>
          <w:rStyle w:val="FootnoteReference"/>
        </w:rPr>
        <w:footnoteRef/>
      </w:r>
      <w:r>
        <w:t xml:space="preserve"> </w:t>
      </w:r>
      <w:r>
        <w:tab/>
        <w:t xml:space="preserve">Nielsen and Smyth, "What the Australian public knows about the High Court" (2019) 47 </w:t>
      </w:r>
      <w:r>
        <w:rPr>
          <w:i/>
          <w:iCs/>
        </w:rPr>
        <w:t>Federal Law Review</w:t>
      </w:r>
      <w:r>
        <w:t xml:space="preserve"> 31 at 55.</w:t>
      </w:r>
    </w:p>
  </w:footnote>
  <w:footnote w:id="52">
    <w:p w14:paraId="26717540" w14:textId="6A79AF0B" w:rsidR="00431848" w:rsidRDefault="00431848">
      <w:pPr>
        <w:pStyle w:val="FootnoteText"/>
      </w:pPr>
      <w:r>
        <w:rPr>
          <w:rStyle w:val="FootnoteReference"/>
        </w:rPr>
        <w:footnoteRef/>
      </w:r>
      <w:r>
        <w:t xml:space="preserve"> </w:t>
      </w:r>
      <w:r>
        <w:tab/>
      </w:r>
      <w:r w:rsidR="003926D4">
        <w:t xml:space="preserve">Australian Law Reform Commission, </w:t>
      </w:r>
      <w:r w:rsidR="003926D4">
        <w:rPr>
          <w:i/>
          <w:iCs/>
        </w:rPr>
        <w:t>Without Fear or Favour</w:t>
      </w:r>
      <w:r w:rsidR="00BF3DD2">
        <w:rPr>
          <w:i/>
          <w:iCs/>
        </w:rPr>
        <w:t xml:space="preserve">: Judicial Impartiality and the Law on Bias </w:t>
      </w:r>
      <w:r w:rsidR="00BF3DD2">
        <w:t>(Report No 138) at 14,</w:t>
      </w:r>
      <w:r w:rsidR="00390B73">
        <w:t xml:space="preserve"> 497-501.</w:t>
      </w:r>
    </w:p>
  </w:footnote>
  <w:footnote w:id="53">
    <w:p w14:paraId="5850A336" w14:textId="74FA953B" w:rsidR="00F67406" w:rsidRDefault="00F67406">
      <w:pPr>
        <w:pStyle w:val="FootnoteText"/>
      </w:pPr>
      <w:r>
        <w:rPr>
          <w:rStyle w:val="FootnoteReference"/>
        </w:rPr>
        <w:footnoteRef/>
      </w:r>
      <w:r>
        <w:t xml:space="preserve"> </w:t>
      </w:r>
      <w:r w:rsidR="00564928">
        <w:t>See</w:t>
      </w:r>
      <w:r>
        <w:t xml:space="preserve">: </w:t>
      </w:r>
      <w:r w:rsidR="0087038B" w:rsidRPr="0087038B">
        <w:t>https://www.youtube.com/user/UKSupremeCourt</w:t>
      </w:r>
      <w:r w:rsidR="0087038B">
        <w:t xml:space="preserve"> .</w:t>
      </w:r>
    </w:p>
  </w:footnote>
  <w:footnote w:id="54">
    <w:p w14:paraId="659343BC" w14:textId="316F4D95" w:rsidR="00F759E3" w:rsidRDefault="00F759E3">
      <w:pPr>
        <w:pStyle w:val="FootnoteText"/>
      </w:pPr>
      <w:r>
        <w:rPr>
          <w:rStyle w:val="FootnoteReference"/>
        </w:rPr>
        <w:footnoteRef/>
      </w:r>
      <w:r>
        <w:t xml:space="preserve"> </w:t>
      </w:r>
      <w:r w:rsidR="00564928">
        <w:t>See</w:t>
      </w:r>
      <w:r w:rsidR="000C5524">
        <w:t xml:space="preserve">: </w:t>
      </w:r>
      <w:r w:rsidR="0087038B" w:rsidRPr="0087038B">
        <w:t>https://www.youtube.com/watch?v=bwmwfRyJ_74</w:t>
      </w:r>
      <w:r w:rsidR="0087038B">
        <w:t xml:space="preserve"> .</w:t>
      </w:r>
    </w:p>
  </w:footnote>
  <w:footnote w:id="55">
    <w:p w14:paraId="51E1AD22" w14:textId="6DE66EC1" w:rsidR="0087038B" w:rsidRDefault="0087038B">
      <w:pPr>
        <w:pStyle w:val="FootnoteText"/>
      </w:pPr>
      <w:r>
        <w:rPr>
          <w:rStyle w:val="FootnoteReference"/>
        </w:rPr>
        <w:footnoteRef/>
      </w:r>
      <w:r>
        <w:t xml:space="preserve"> See: </w:t>
      </w:r>
      <w:r w:rsidRPr="0087038B">
        <w:t>https://www.youtube.com/watch?v=8MU7tK6HM3Q</w:t>
      </w:r>
      <w:r>
        <w:t xml:space="preserve"> .</w:t>
      </w:r>
    </w:p>
  </w:footnote>
  <w:footnote w:id="56">
    <w:p w14:paraId="208153EC" w14:textId="0C5265F6" w:rsidR="00E86424" w:rsidRDefault="00E86424">
      <w:pPr>
        <w:pStyle w:val="FootnoteText"/>
      </w:pPr>
      <w:r>
        <w:rPr>
          <w:rStyle w:val="FootnoteReference"/>
        </w:rPr>
        <w:footnoteRef/>
      </w:r>
      <w:r>
        <w:t xml:space="preserve"> See: </w:t>
      </w:r>
      <w:r w:rsidRPr="00E86424">
        <w:t>https://streetlaw.org/our-work/strategic-initiatives/supreme-court-summer-institute/</w:t>
      </w:r>
      <w:r>
        <w:t xml:space="preserve"> .</w:t>
      </w:r>
    </w:p>
  </w:footnote>
  <w:footnote w:id="57">
    <w:p w14:paraId="7D884C0A" w14:textId="49B6B07A" w:rsidR="00A73D4A" w:rsidRDefault="00A73D4A">
      <w:pPr>
        <w:pStyle w:val="FootnoteText"/>
      </w:pPr>
      <w:r>
        <w:rPr>
          <w:rStyle w:val="FootnoteReference"/>
        </w:rPr>
        <w:footnoteRef/>
      </w:r>
      <w:r>
        <w:t xml:space="preserve"> </w:t>
      </w:r>
      <w:r>
        <w:tab/>
      </w:r>
      <w:r w:rsidR="00D60FB3">
        <w:t xml:space="preserve">Kirby, </w:t>
      </w:r>
      <w:r w:rsidR="00266A76">
        <w:t>'Herbert Vere Evatt, the United Nations and the Universal Declaration of Human Rights After 60 Years'</w:t>
      </w:r>
      <w:r w:rsidR="00F63E17">
        <w:t xml:space="preserve"> (2009) </w:t>
      </w:r>
      <w:r w:rsidR="00604F9A">
        <w:t xml:space="preserve">34 </w:t>
      </w:r>
      <w:r w:rsidR="00604F9A">
        <w:rPr>
          <w:i/>
          <w:iCs/>
        </w:rPr>
        <w:t xml:space="preserve">UWA Law Review </w:t>
      </w:r>
      <w:r w:rsidR="00604F9A">
        <w:t xml:space="preserve">238, </w:t>
      </w:r>
      <w:r w:rsidR="006A1010">
        <w:t>240.</w:t>
      </w:r>
    </w:p>
  </w:footnote>
  <w:footnote w:id="58">
    <w:p w14:paraId="6544B197" w14:textId="2D51F535" w:rsidR="005A4CDF" w:rsidRPr="000B7D9F" w:rsidRDefault="005A4CDF">
      <w:pPr>
        <w:pStyle w:val="FootnoteText"/>
      </w:pPr>
      <w:r>
        <w:rPr>
          <w:rStyle w:val="FootnoteReference"/>
        </w:rPr>
        <w:footnoteRef/>
      </w:r>
      <w:r>
        <w:t xml:space="preserve"> </w:t>
      </w:r>
      <w:r w:rsidR="00B13273">
        <w:tab/>
      </w:r>
      <w:r w:rsidR="000B7D9F">
        <w:t xml:space="preserve">Pamela Burton, </w:t>
      </w:r>
      <w:r w:rsidR="00B13273">
        <w:rPr>
          <w:i/>
          <w:iCs/>
        </w:rPr>
        <w:t>From Moree to Mabo: The Mary Gaudron Story</w:t>
      </w:r>
      <w:r w:rsidR="000B7D9F">
        <w:rPr>
          <w:i/>
          <w:iCs/>
        </w:rPr>
        <w:t xml:space="preserve"> </w:t>
      </w:r>
      <w:r w:rsidR="000B7D9F">
        <w:t xml:space="preserve">(UWA Publishing, 2010) </w:t>
      </w:r>
      <w:r w:rsidR="00BF4EA1">
        <w:t>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518153"/>
      <w:docPartObj>
        <w:docPartGallery w:val="Page Numbers (Top of Page)"/>
        <w:docPartUnique/>
      </w:docPartObj>
    </w:sdtPr>
    <w:sdtEndPr>
      <w:rPr>
        <w:noProof/>
      </w:rPr>
    </w:sdtEndPr>
    <w:sdtContent>
      <w:p w14:paraId="4AABE6FB" w14:textId="1E59A2C7" w:rsidR="00F812FC" w:rsidRDefault="00F812F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D7C00C9" w14:textId="77777777" w:rsidR="008F0581" w:rsidRDefault="008F0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126530"/>
      <w:docPartObj>
        <w:docPartGallery w:val="Page Numbers (Top of Page)"/>
        <w:docPartUnique/>
      </w:docPartObj>
    </w:sdtPr>
    <w:sdtEndPr>
      <w:rPr>
        <w:noProof/>
      </w:rPr>
    </w:sdtEndPr>
    <w:sdtContent>
      <w:p w14:paraId="32D95F87" w14:textId="26A37A2A" w:rsidR="00133C7B" w:rsidRDefault="00133C7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AFDEED7" w14:textId="6D6D9F6A" w:rsidR="003660B6" w:rsidRDefault="003660B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682C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0807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749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64B1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BA88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A2BE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F827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08F1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02F9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56C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D158E9"/>
    <w:multiLevelType w:val="hybridMultilevel"/>
    <w:tmpl w:val="F2E28A58"/>
    <w:lvl w:ilvl="0" w:tplc="3F84F7E0">
      <w:start w:val="1"/>
      <w:numFmt w:val="decimal"/>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1" w15:restartNumberingAfterBreak="0">
    <w:nsid w:val="0CA83894"/>
    <w:multiLevelType w:val="hybridMultilevel"/>
    <w:tmpl w:val="6CA696CA"/>
    <w:lvl w:ilvl="0" w:tplc="2542D178">
      <w:start w:val="1"/>
      <w:numFmt w:val="decimal"/>
      <w:pStyle w:val="FixListStyle"/>
      <w:lvlText w:val="%1"/>
      <w:lvlJc w:val="left"/>
      <w:pPr>
        <w:ind w:left="-360" w:hanging="360"/>
      </w:pPr>
      <w:rPr>
        <w:rFonts w:ascii="Times New Roman" w:hAnsi="Times New Roman" w:hint="default"/>
        <w:b w:val="0"/>
        <w:i w:val="0"/>
        <w:sz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1EF5578A"/>
    <w:multiLevelType w:val="hybridMultilevel"/>
    <w:tmpl w:val="1576A010"/>
    <w:lvl w:ilvl="0" w:tplc="97AE9906">
      <w:start w:val="1"/>
      <w:numFmt w:val="decimal"/>
      <w:pStyle w:val="NormalHC"/>
      <w:lvlText w:val="%1."/>
      <w:lvlJc w:val="left"/>
      <w:pPr>
        <w:ind w:left="720" w:hanging="144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E8C6A0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151F96"/>
    <w:multiLevelType w:val="hybridMultilevel"/>
    <w:tmpl w:val="CA222870"/>
    <w:lvl w:ilvl="0" w:tplc="3F84F7E0">
      <w:start w:val="1"/>
      <w:numFmt w:val="decimal"/>
      <w:lvlText w:val="%1."/>
      <w:lvlJc w:val="left"/>
      <w:pPr>
        <w:tabs>
          <w:tab w:val="num" w:pos="2160"/>
        </w:tabs>
        <w:ind w:left="2160" w:hanging="72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5" w15:restartNumberingAfterBreak="0">
    <w:nsid w:val="4A7943C2"/>
    <w:multiLevelType w:val="hybridMultilevel"/>
    <w:tmpl w:val="77D8FB18"/>
    <w:lvl w:ilvl="0" w:tplc="108C3F1C">
      <w:start w:val="1"/>
      <w:numFmt w:val="decimal"/>
      <w:lvlText w:val="%1"/>
      <w:lvlJc w:val="left"/>
      <w:pPr>
        <w:ind w:left="-360" w:hanging="360"/>
      </w:pPr>
      <w:rPr>
        <w:rFonts w:ascii="Univers" w:hAnsi="Univers" w:hint="default"/>
        <w:b w:val="0"/>
        <w:i w:val="0"/>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7C4EEB"/>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D97D7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4"/>
  </w:num>
  <w:num w:numId="3">
    <w:abstractNumId w:val="17"/>
  </w:num>
  <w:num w:numId="4">
    <w:abstractNumId w:val="13"/>
  </w:num>
  <w:num w:numId="5">
    <w:abstractNumId w:val="16"/>
  </w:num>
  <w:num w:numId="6">
    <w:abstractNumId w:val="6"/>
  </w:num>
  <w:num w:numId="7">
    <w:abstractNumId w:val="9"/>
  </w:num>
  <w:num w:numId="8">
    <w:abstractNumId w:val="7"/>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529"/>
    <w:rsid w:val="0000048D"/>
    <w:rsid w:val="00001CAE"/>
    <w:rsid w:val="00002069"/>
    <w:rsid w:val="00002CE6"/>
    <w:rsid w:val="0000316A"/>
    <w:rsid w:val="00003AF2"/>
    <w:rsid w:val="00004292"/>
    <w:rsid w:val="000049B7"/>
    <w:rsid w:val="000054D2"/>
    <w:rsid w:val="00005508"/>
    <w:rsid w:val="0000747A"/>
    <w:rsid w:val="00007DBF"/>
    <w:rsid w:val="00010913"/>
    <w:rsid w:val="00010F21"/>
    <w:rsid w:val="00010FBD"/>
    <w:rsid w:val="0001211F"/>
    <w:rsid w:val="000126EC"/>
    <w:rsid w:val="00012B04"/>
    <w:rsid w:val="000134E4"/>
    <w:rsid w:val="00013A69"/>
    <w:rsid w:val="000142FE"/>
    <w:rsid w:val="00014756"/>
    <w:rsid w:val="00014A60"/>
    <w:rsid w:val="00014B34"/>
    <w:rsid w:val="000162FB"/>
    <w:rsid w:val="000165F7"/>
    <w:rsid w:val="000168C9"/>
    <w:rsid w:val="00016C20"/>
    <w:rsid w:val="00016DBB"/>
    <w:rsid w:val="00017144"/>
    <w:rsid w:val="00017560"/>
    <w:rsid w:val="00020620"/>
    <w:rsid w:val="000217FC"/>
    <w:rsid w:val="00022365"/>
    <w:rsid w:val="00022FCE"/>
    <w:rsid w:val="000242AF"/>
    <w:rsid w:val="000250AF"/>
    <w:rsid w:val="00025490"/>
    <w:rsid w:val="0002561E"/>
    <w:rsid w:val="000268E1"/>
    <w:rsid w:val="00026E13"/>
    <w:rsid w:val="000304E7"/>
    <w:rsid w:val="000327DE"/>
    <w:rsid w:val="00032801"/>
    <w:rsid w:val="00032AC9"/>
    <w:rsid w:val="00033A1E"/>
    <w:rsid w:val="00034FE3"/>
    <w:rsid w:val="0003563C"/>
    <w:rsid w:val="0003575A"/>
    <w:rsid w:val="00035808"/>
    <w:rsid w:val="000360A4"/>
    <w:rsid w:val="000360EB"/>
    <w:rsid w:val="00036913"/>
    <w:rsid w:val="000379F6"/>
    <w:rsid w:val="00037A5F"/>
    <w:rsid w:val="00037D87"/>
    <w:rsid w:val="000400C4"/>
    <w:rsid w:val="00040416"/>
    <w:rsid w:val="00041E54"/>
    <w:rsid w:val="00042F85"/>
    <w:rsid w:val="00043D2C"/>
    <w:rsid w:val="0004464A"/>
    <w:rsid w:val="00045073"/>
    <w:rsid w:val="00046812"/>
    <w:rsid w:val="0005085C"/>
    <w:rsid w:val="00055ACD"/>
    <w:rsid w:val="00056047"/>
    <w:rsid w:val="00056F27"/>
    <w:rsid w:val="000573AF"/>
    <w:rsid w:val="000612F1"/>
    <w:rsid w:val="0006169E"/>
    <w:rsid w:val="000626FD"/>
    <w:rsid w:val="00063A1B"/>
    <w:rsid w:val="00064266"/>
    <w:rsid w:val="0006432B"/>
    <w:rsid w:val="000653D4"/>
    <w:rsid w:val="00065E97"/>
    <w:rsid w:val="000675E8"/>
    <w:rsid w:val="0007146B"/>
    <w:rsid w:val="00071C35"/>
    <w:rsid w:val="00071DF2"/>
    <w:rsid w:val="0007269C"/>
    <w:rsid w:val="00073720"/>
    <w:rsid w:val="0007485B"/>
    <w:rsid w:val="000751ED"/>
    <w:rsid w:val="00075F50"/>
    <w:rsid w:val="000761E0"/>
    <w:rsid w:val="00076A57"/>
    <w:rsid w:val="00076DFA"/>
    <w:rsid w:val="00080D77"/>
    <w:rsid w:val="0008297A"/>
    <w:rsid w:val="00082BF8"/>
    <w:rsid w:val="0008322A"/>
    <w:rsid w:val="00083978"/>
    <w:rsid w:val="0008435D"/>
    <w:rsid w:val="0008558C"/>
    <w:rsid w:val="00085F13"/>
    <w:rsid w:val="00091C33"/>
    <w:rsid w:val="00093606"/>
    <w:rsid w:val="00095648"/>
    <w:rsid w:val="000A0CFD"/>
    <w:rsid w:val="000A18DE"/>
    <w:rsid w:val="000A19DF"/>
    <w:rsid w:val="000A2870"/>
    <w:rsid w:val="000A28D4"/>
    <w:rsid w:val="000A2EB4"/>
    <w:rsid w:val="000A3DA3"/>
    <w:rsid w:val="000A3F79"/>
    <w:rsid w:val="000A439F"/>
    <w:rsid w:val="000A5A3D"/>
    <w:rsid w:val="000A63C6"/>
    <w:rsid w:val="000B0436"/>
    <w:rsid w:val="000B0593"/>
    <w:rsid w:val="000B162F"/>
    <w:rsid w:val="000B2A26"/>
    <w:rsid w:val="000B2E02"/>
    <w:rsid w:val="000B3529"/>
    <w:rsid w:val="000B4369"/>
    <w:rsid w:val="000B4447"/>
    <w:rsid w:val="000B4630"/>
    <w:rsid w:val="000B497F"/>
    <w:rsid w:val="000B557E"/>
    <w:rsid w:val="000B710D"/>
    <w:rsid w:val="000B7558"/>
    <w:rsid w:val="000B7D9F"/>
    <w:rsid w:val="000B7EC7"/>
    <w:rsid w:val="000C04DC"/>
    <w:rsid w:val="000C0D98"/>
    <w:rsid w:val="000C48D0"/>
    <w:rsid w:val="000C4D66"/>
    <w:rsid w:val="000C5315"/>
    <w:rsid w:val="000C5524"/>
    <w:rsid w:val="000C5954"/>
    <w:rsid w:val="000C6237"/>
    <w:rsid w:val="000D0177"/>
    <w:rsid w:val="000D1F6A"/>
    <w:rsid w:val="000D2469"/>
    <w:rsid w:val="000D25E6"/>
    <w:rsid w:val="000D2A1D"/>
    <w:rsid w:val="000D3335"/>
    <w:rsid w:val="000D3BA0"/>
    <w:rsid w:val="000E0311"/>
    <w:rsid w:val="000E2455"/>
    <w:rsid w:val="000E444D"/>
    <w:rsid w:val="000E65F7"/>
    <w:rsid w:val="000E7FF6"/>
    <w:rsid w:val="000F0358"/>
    <w:rsid w:val="000F1345"/>
    <w:rsid w:val="000F1E00"/>
    <w:rsid w:val="000F3A51"/>
    <w:rsid w:val="000F3C90"/>
    <w:rsid w:val="000F4063"/>
    <w:rsid w:val="000F4284"/>
    <w:rsid w:val="000F46F0"/>
    <w:rsid w:val="000F6699"/>
    <w:rsid w:val="000F79E2"/>
    <w:rsid w:val="001001B9"/>
    <w:rsid w:val="00100450"/>
    <w:rsid w:val="00100A32"/>
    <w:rsid w:val="00102254"/>
    <w:rsid w:val="00102609"/>
    <w:rsid w:val="00102926"/>
    <w:rsid w:val="00103BEA"/>
    <w:rsid w:val="001044F6"/>
    <w:rsid w:val="00104EE2"/>
    <w:rsid w:val="00105323"/>
    <w:rsid w:val="00105C74"/>
    <w:rsid w:val="00105E2E"/>
    <w:rsid w:val="00106638"/>
    <w:rsid w:val="0010702C"/>
    <w:rsid w:val="00107733"/>
    <w:rsid w:val="00110970"/>
    <w:rsid w:val="00110B1F"/>
    <w:rsid w:val="00111383"/>
    <w:rsid w:val="00111568"/>
    <w:rsid w:val="0011203A"/>
    <w:rsid w:val="001120C0"/>
    <w:rsid w:val="0011286D"/>
    <w:rsid w:val="001135EF"/>
    <w:rsid w:val="001150BF"/>
    <w:rsid w:val="00115D8F"/>
    <w:rsid w:val="00115EB0"/>
    <w:rsid w:val="001168F2"/>
    <w:rsid w:val="00117BDF"/>
    <w:rsid w:val="00120061"/>
    <w:rsid w:val="00120207"/>
    <w:rsid w:val="0012169B"/>
    <w:rsid w:val="00123C1B"/>
    <w:rsid w:val="00124CC0"/>
    <w:rsid w:val="00124E70"/>
    <w:rsid w:val="00125088"/>
    <w:rsid w:val="00125E3C"/>
    <w:rsid w:val="00127E0D"/>
    <w:rsid w:val="00130FF6"/>
    <w:rsid w:val="00132AAA"/>
    <w:rsid w:val="00133A6B"/>
    <w:rsid w:val="00133C7B"/>
    <w:rsid w:val="00133E7E"/>
    <w:rsid w:val="0013456F"/>
    <w:rsid w:val="00135287"/>
    <w:rsid w:val="001353F3"/>
    <w:rsid w:val="00135D55"/>
    <w:rsid w:val="00137053"/>
    <w:rsid w:val="001374D2"/>
    <w:rsid w:val="00141662"/>
    <w:rsid w:val="001419CE"/>
    <w:rsid w:val="00142072"/>
    <w:rsid w:val="00143FCB"/>
    <w:rsid w:val="00144058"/>
    <w:rsid w:val="00145627"/>
    <w:rsid w:val="00145F7A"/>
    <w:rsid w:val="00146931"/>
    <w:rsid w:val="00146A41"/>
    <w:rsid w:val="0014707A"/>
    <w:rsid w:val="00151679"/>
    <w:rsid w:val="0015240B"/>
    <w:rsid w:val="00152CE2"/>
    <w:rsid w:val="0015318E"/>
    <w:rsid w:val="00154A57"/>
    <w:rsid w:val="00155F9D"/>
    <w:rsid w:val="00156198"/>
    <w:rsid w:val="00157C79"/>
    <w:rsid w:val="0016058D"/>
    <w:rsid w:val="00161B7B"/>
    <w:rsid w:val="00161E0B"/>
    <w:rsid w:val="00162C47"/>
    <w:rsid w:val="00162E08"/>
    <w:rsid w:val="00163D92"/>
    <w:rsid w:val="00163E3D"/>
    <w:rsid w:val="00164144"/>
    <w:rsid w:val="001647FA"/>
    <w:rsid w:val="001649F7"/>
    <w:rsid w:val="001650D7"/>
    <w:rsid w:val="00166530"/>
    <w:rsid w:val="00167B66"/>
    <w:rsid w:val="00167CD5"/>
    <w:rsid w:val="00167D04"/>
    <w:rsid w:val="0017045F"/>
    <w:rsid w:val="00172ADE"/>
    <w:rsid w:val="00173163"/>
    <w:rsid w:val="00174D19"/>
    <w:rsid w:val="0017508B"/>
    <w:rsid w:val="00175703"/>
    <w:rsid w:val="001758DE"/>
    <w:rsid w:val="00176D25"/>
    <w:rsid w:val="00181B43"/>
    <w:rsid w:val="00182184"/>
    <w:rsid w:val="0018342E"/>
    <w:rsid w:val="00183752"/>
    <w:rsid w:val="001840C2"/>
    <w:rsid w:val="00184B46"/>
    <w:rsid w:val="001853E4"/>
    <w:rsid w:val="00185939"/>
    <w:rsid w:val="00186E8C"/>
    <w:rsid w:val="00186EA9"/>
    <w:rsid w:val="001876F6"/>
    <w:rsid w:val="00190961"/>
    <w:rsid w:val="001912D5"/>
    <w:rsid w:val="00191E23"/>
    <w:rsid w:val="00193303"/>
    <w:rsid w:val="001935DA"/>
    <w:rsid w:val="001939F5"/>
    <w:rsid w:val="00194A85"/>
    <w:rsid w:val="001953B1"/>
    <w:rsid w:val="001963C0"/>
    <w:rsid w:val="0019669F"/>
    <w:rsid w:val="00197956"/>
    <w:rsid w:val="001A06DD"/>
    <w:rsid w:val="001A3885"/>
    <w:rsid w:val="001A446E"/>
    <w:rsid w:val="001A576E"/>
    <w:rsid w:val="001A6743"/>
    <w:rsid w:val="001B14AE"/>
    <w:rsid w:val="001B17A8"/>
    <w:rsid w:val="001B2AE2"/>
    <w:rsid w:val="001B47CF"/>
    <w:rsid w:val="001B4BA8"/>
    <w:rsid w:val="001B5001"/>
    <w:rsid w:val="001B5190"/>
    <w:rsid w:val="001B5698"/>
    <w:rsid w:val="001B5A63"/>
    <w:rsid w:val="001B63C6"/>
    <w:rsid w:val="001B648F"/>
    <w:rsid w:val="001B68AC"/>
    <w:rsid w:val="001C1B47"/>
    <w:rsid w:val="001C1F1A"/>
    <w:rsid w:val="001C3970"/>
    <w:rsid w:val="001C48D4"/>
    <w:rsid w:val="001C4F2D"/>
    <w:rsid w:val="001C7C93"/>
    <w:rsid w:val="001D1741"/>
    <w:rsid w:val="001D1A52"/>
    <w:rsid w:val="001D3470"/>
    <w:rsid w:val="001D36CD"/>
    <w:rsid w:val="001D3E57"/>
    <w:rsid w:val="001D4B4C"/>
    <w:rsid w:val="001D4F49"/>
    <w:rsid w:val="001D59C2"/>
    <w:rsid w:val="001D6165"/>
    <w:rsid w:val="001D7101"/>
    <w:rsid w:val="001D7982"/>
    <w:rsid w:val="001E12FF"/>
    <w:rsid w:val="001E1D3D"/>
    <w:rsid w:val="001E2240"/>
    <w:rsid w:val="001E2E15"/>
    <w:rsid w:val="001E4433"/>
    <w:rsid w:val="001E47D1"/>
    <w:rsid w:val="001E57B4"/>
    <w:rsid w:val="001E6A64"/>
    <w:rsid w:val="001E75C5"/>
    <w:rsid w:val="001E76BA"/>
    <w:rsid w:val="001F1372"/>
    <w:rsid w:val="001F1F8A"/>
    <w:rsid w:val="001F2F4C"/>
    <w:rsid w:val="001F3483"/>
    <w:rsid w:val="001F3F2A"/>
    <w:rsid w:val="001F47D3"/>
    <w:rsid w:val="001F567F"/>
    <w:rsid w:val="001F64D4"/>
    <w:rsid w:val="001F69C2"/>
    <w:rsid w:val="001F7C41"/>
    <w:rsid w:val="002000BA"/>
    <w:rsid w:val="00200B2E"/>
    <w:rsid w:val="00200BF3"/>
    <w:rsid w:val="00201A10"/>
    <w:rsid w:val="00202535"/>
    <w:rsid w:val="00202C36"/>
    <w:rsid w:val="00202CED"/>
    <w:rsid w:val="00203568"/>
    <w:rsid w:val="002048D1"/>
    <w:rsid w:val="00205060"/>
    <w:rsid w:val="00205DA6"/>
    <w:rsid w:val="002063B8"/>
    <w:rsid w:val="002079CB"/>
    <w:rsid w:val="0021096E"/>
    <w:rsid w:val="00210DE8"/>
    <w:rsid w:val="00211D73"/>
    <w:rsid w:val="00212A3E"/>
    <w:rsid w:val="00212E0F"/>
    <w:rsid w:val="00213E00"/>
    <w:rsid w:val="00214578"/>
    <w:rsid w:val="00214BF2"/>
    <w:rsid w:val="00214DF8"/>
    <w:rsid w:val="00215A7F"/>
    <w:rsid w:val="00216127"/>
    <w:rsid w:val="00216522"/>
    <w:rsid w:val="00216BAC"/>
    <w:rsid w:val="00217207"/>
    <w:rsid w:val="00217D65"/>
    <w:rsid w:val="00220153"/>
    <w:rsid w:val="00221044"/>
    <w:rsid w:val="00221D19"/>
    <w:rsid w:val="00224F1B"/>
    <w:rsid w:val="0022666B"/>
    <w:rsid w:val="00226CE9"/>
    <w:rsid w:val="0022734D"/>
    <w:rsid w:val="00227F37"/>
    <w:rsid w:val="002306A6"/>
    <w:rsid w:val="002315D8"/>
    <w:rsid w:val="0023447F"/>
    <w:rsid w:val="00234C9E"/>
    <w:rsid w:val="002350B3"/>
    <w:rsid w:val="0023593C"/>
    <w:rsid w:val="00235B4C"/>
    <w:rsid w:val="0023798E"/>
    <w:rsid w:val="00237BCF"/>
    <w:rsid w:val="00242EE4"/>
    <w:rsid w:val="0024462E"/>
    <w:rsid w:val="0024606E"/>
    <w:rsid w:val="00247190"/>
    <w:rsid w:val="002474FA"/>
    <w:rsid w:val="00251E94"/>
    <w:rsid w:val="00253493"/>
    <w:rsid w:val="00253A5F"/>
    <w:rsid w:val="00254F8B"/>
    <w:rsid w:val="00255738"/>
    <w:rsid w:val="00256621"/>
    <w:rsid w:val="00257AFB"/>
    <w:rsid w:val="00261538"/>
    <w:rsid w:val="00261BE0"/>
    <w:rsid w:val="002625EF"/>
    <w:rsid w:val="0026293D"/>
    <w:rsid w:val="00263E3A"/>
    <w:rsid w:val="00264846"/>
    <w:rsid w:val="00265252"/>
    <w:rsid w:val="00265982"/>
    <w:rsid w:val="00266A76"/>
    <w:rsid w:val="00270154"/>
    <w:rsid w:val="00270CF4"/>
    <w:rsid w:val="00271C03"/>
    <w:rsid w:val="00271F70"/>
    <w:rsid w:val="00273116"/>
    <w:rsid w:val="0027408B"/>
    <w:rsid w:val="00274C8C"/>
    <w:rsid w:val="00274EDE"/>
    <w:rsid w:val="00276AF5"/>
    <w:rsid w:val="00276B56"/>
    <w:rsid w:val="00277B1C"/>
    <w:rsid w:val="00277CEA"/>
    <w:rsid w:val="00280F46"/>
    <w:rsid w:val="00281180"/>
    <w:rsid w:val="002813D5"/>
    <w:rsid w:val="002819FD"/>
    <w:rsid w:val="00282FE0"/>
    <w:rsid w:val="0028327F"/>
    <w:rsid w:val="0028367F"/>
    <w:rsid w:val="0028409E"/>
    <w:rsid w:val="0028583A"/>
    <w:rsid w:val="00287368"/>
    <w:rsid w:val="00287873"/>
    <w:rsid w:val="00290C7A"/>
    <w:rsid w:val="002916CC"/>
    <w:rsid w:val="0029170C"/>
    <w:rsid w:val="00291BF6"/>
    <w:rsid w:val="0029278C"/>
    <w:rsid w:val="00292C7C"/>
    <w:rsid w:val="00292E65"/>
    <w:rsid w:val="00293944"/>
    <w:rsid w:val="00293D5C"/>
    <w:rsid w:val="00294223"/>
    <w:rsid w:val="002942FE"/>
    <w:rsid w:val="00296146"/>
    <w:rsid w:val="0029697C"/>
    <w:rsid w:val="002979F1"/>
    <w:rsid w:val="002A0FD8"/>
    <w:rsid w:val="002A13E1"/>
    <w:rsid w:val="002A3248"/>
    <w:rsid w:val="002A33DD"/>
    <w:rsid w:val="002A4831"/>
    <w:rsid w:val="002A4D2B"/>
    <w:rsid w:val="002A4EF9"/>
    <w:rsid w:val="002A57EA"/>
    <w:rsid w:val="002A61B9"/>
    <w:rsid w:val="002A69E6"/>
    <w:rsid w:val="002A6B3F"/>
    <w:rsid w:val="002B00D9"/>
    <w:rsid w:val="002B0846"/>
    <w:rsid w:val="002B118E"/>
    <w:rsid w:val="002B1304"/>
    <w:rsid w:val="002B203F"/>
    <w:rsid w:val="002B37C4"/>
    <w:rsid w:val="002B6556"/>
    <w:rsid w:val="002B7760"/>
    <w:rsid w:val="002C1435"/>
    <w:rsid w:val="002C358F"/>
    <w:rsid w:val="002C42F2"/>
    <w:rsid w:val="002C4489"/>
    <w:rsid w:val="002C56BC"/>
    <w:rsid w:val="002C56FD"/>
    <w:rsid w:val="002C5981"/>
    <w:rsid w:val="002C7AAD"/>
    <w:rsid w:val="002D00EC"/>
    <w:rsid w:val="002D0410"/>
    <w:rsid w:val="002D0899"/>
    <w:rsid w:val="002D0F14"/>
    <w:rsid w:val="002D1707"/>
    <w:rsid w:val="002D17E2"/>
    <w:rsid w:val="002D1C54"/>
    <w:rsid w:val="002D2290"/>
    <w:rsid w:val="002D2725"/>
    <w:rsid w:val="002D2E1D"/>
    <w:rsid w:val="002D3430"/>
    <w:rsid w:val="002D3F5B"/>
    <w:rsid w:val="002D535F"/>
    <w:rsid w:val="002E0603"/>
    <w:rsid w:val="002E07AC"/>
    <w:rsid w:val="002E0B40"/>
    <w:rsid w:val="002E0EC8"/>
    <w:rsid w:val="002E1B25"/>
    <w:rsid w:val="002E278F"/>
    <w:rsid w:val="002E3445"/>
    <w:rsid w:val="002E3B4D"/>
    <w:rsid w:val="002E4898"/>
    <w:rsid w:val="002E6AD3"/>
    <w:rsid w:val="002F0522"/>
    <w:rsid w:val="002F0734"/>
    <w:rsid w:val="002F1D6F"/>
    <w:rsid w:val="002F2311"/>
    <w:rsid w:val="002F3F25"/>
    <w:rsid w:val="002F4579"/>
    <w:rsid w:val="002F7A09"/>
    <w:rsid w:val="00301975"/>
    <w:rsid w:val="003020F9"/>
    <w:rsid w:val="0030251A"/>
    <w:rsid w:val="00302602"/>
    <w:rsid w:val="0030371A"/>
    <w:rsid w:val="003048EA"/>
    <w:rsid w:val="00305084"/>
    <w:rsid w:val="00305112"/>
    <w:rsid w:val="00305123"/>
    <w:rsid w:val="0030542C"/>
    <w:rsid w:val="00305C84"/>
    <w:rsid w:val="00310418"/>
    <w:rsid w:val="00312C4B"/>
    <w:rsid w:val="00312FFC"/>
    <w:rsid w:val="0031303B"/>
    <w:rsid w:val="00313751"/>
    <w:rsid w:val="00313C5C"/>
    <w:rsid w:val="003150BF"/>
    <w:rsid w:val="003150CE"/>
    <w:rsid w:val="00315E92"/>
    <w:rsid w:val="003161EB"/>
    <w:rsid w:val="003200B1"/>
    <w:rsid w:val="0032067A"/>
    <w:rsid w:val="00321979"/>
    <w:rsid w:val="00321F2D"/>
    <w:rsid w:val="00322D64"/>
    <w:rsid w:val="003234A7"/>
    <w:rsid w:val="00323B9E"/>
    <w:rsid w:val="003248DD"/>
    <w:rsid w:val="00324D92"/>
    <w:rsid w:val="003254B8"/>
    <w:rsid w:val="00325868"/>
    <w:rsid w:val="00325E3A"/>
    <w:rsid w:val="0032604E"/>
    <w:rsid w:val="00326AD2"/>
    <w:rsid w:val="00330804"/>
    <w:rsid w:val="003312CC"/>
    <w:rsid w:val="00332713"/>
    <w:rsid w:val="00334A6B"/>
    <w:rsid w:val="00334D30"/>
    <w:rsid w:val="003366B2"/>
    <w:rsid w:val="003378FB"/>
    <w:rsid w:val="00340011"/>
    <w:rsid w:val="00340066"/>
    <w:rsid w:val="00341F2A"/>
    <w:rsid w:val="00342831"/>
    <w:rsid w:val="0034288B"/>
    <w:rsid w:val="0034332B"/>
    <w:rsid w:val="003450D7"/>
    <w:rsid w:val="00345730"/>
    <w:rsid w:val="0034681C"/>
    <w:rsid w:val="0035018B"/>
    <w:rsid w:val="00352A14"/>
    <w:rsid w:val="00355133"/>
    <w:rsid w:val="00356320"/>
    <w:rsid w:val="0035664C"/>
    <w:rsid w:val="00356C65"/>
    <w:rsid w:val="00356ED5"/>
    <w:rsid w:val="00356FE4"/>
    <w:rsid w:val="00357569"/>
    <w:rsid w:val="003600A8"/>
    <w:rsid w:val="003615C1"/>
    <w:rsid w:val="00361666"/>
    <w:rsid w:val="00363A27"/>
    <w:rsid w:val="00364CA7"/>
    <w:rsid w:val="00364CDC"/>
    <w:rsid w:val="00365731"/>
    <w:rsid w:val="003660B6"/>
    <w:rsid w:val="00366524"/>
    <w:rsid w:val="00367B0F"/>
    <w:rsid w:val="00370FF4"/>
    <w:rsid w:val="003721D0"/>
    <w:rsid w:val="003725E2"/>
    <w:rsid w:val="00372FD9"/>
    <w:rsid w:val="003730F3"/>
    <w:rsid w:val="00373803"/>
    <w:rsid w:val="00373DDA"/>
    <w:rsid w:val="00373E58"/>
    <w:rsid w:val="00374D64"/>
    <w:rsid w:val="00375F91"/>
    <w:rsid w:val="00376073"/>
    <w:rsid w:val="00376397"/>
    <w:rsid w:val="00376B7C"/>
    <w:rsid w:val="00377452"/>
    <w:rsid w:val="003779D1"/>
    <w:rsid w:val="00381213"/>
    <w:rsid w:val="00381223"/>
    <w:rsid w:val="003815F4"/>
    <w:rsid w:val="00381849"/>
    <w:rsid w:val="00381FE3"/>
    <w:rsid w:val="003823A0"/>
    <w:rsid w:val="00383F7E"/>
    <w:rsid w:val="0038432C"/>
    <w:rsid w:val="00384F36"/>
    <w:rsid w:val="00385271"/>
    <w:rsid w:val="00385648"/>
    <w:rsid w:val="00386A95"/>
    <w:rsid w:val="003877F8"/>
    <w:rsid w:val="00387B7E"/>
    <w:rsid w:val="0039019E"/>
    <w:rsid w:val="00390B73"/>
    <w:rsid w:val="00390D9B"/>
    <w:rsid w:val="0039108E"/>
    <w:rsid w:val="00391946"/>
    <w:rsid w:val="00391E9B"/>
    <w:rsid w:val="0039226E"/>
    <w:rsid w:val="003926D4"/>
    <w:rsid w:val="0039274A"/>
    <w:rsid w:val="00392CC8"/>
    <w:rsid w:val="00395A65"/>
    <w:rsid w:val="003964A7"/>
    <w:rsid w:val="0039707F"/>
    <w:rsid w:val="0039794C"/>
    <w:rsid w:val="003A0EC1"/>
    <w:rsid w:val="003A2017"/>
    <w:rsid w:val="003A2235"/>
    <w:rsid w:val="003A23C3"/>
    <w:rsid w:val="003A2D4A"/>
    <w:rsid w:val="003A48CC"/>
    <w:rsid w:val="003A4ADA"/>
    <w:rsid w:val="003A5042"/>
    <w:rsid w:val="003A67BB"/>
    <w:rsid w:val="003A72EF"/>
    <w:rsid w:val="003B21D9"/>
    <w:rsid w:val="003B3433"/>
    <w:rsid w:val="003B3CA0"/>
    <w:rsid w:val="003B4B3D"/>
    <w:rsid w:val="003B4DEC"/>
    <w:rsid w:val="003B4DF5"/>
    <w:rsid w:val="003B4EED"/>
    <w:rsid w:val="003B5BA8"/>
    <w:rsid w:val="003B60F9"/>
    <w:rsid w:val="003B647E"/>
    <w:rsid w:val="003B6781"/>
    <w:rsid w:val="003B6992"/>
    <w:rsid w:val="003B6B2C"/>
    <w:rsid w:val="003B771E"/>
    <w:rsid w:val="003C126F"/>
    <w:rsid w:val="003C1719"/>
    <w:rsid w:val="003C1F7B"/>
    <w:rsid w:val="003C266A"/>
    <w:rsid w:val="003C339F"/>
    <w:rsid w:val="003C602A"/>
    <w:rsid w:val="003C6713"/>
    <w:rsid w:val="003C741B"/>
    <w:rsid w:val="003D0016"/>
    <w:rsid w:val="003D0096"/>
    <w:rsid w:val="003D1759"/>
    <w:rsid w:val="003D1896"/>
    <w:rsid w:val="003D1F1F"/>
    <w:rsid w:val="003D22C6"/>
    <w:rsid w:val="003D3157"/>
    <w:rsid w:val="003D35D7"/>
    <w:rsid w:val="003D3B14"/>
    <w:rsid w:val="003D3BFA"/>
    <w:rsid w:val="003D3F96"/>
    <w:rsid w:val="003D5CD7"/>
    <w:rsid w:val="003D62AE"/>
    <w:rsid w:val="003D62F7"/>
    <w:rsid w:val="003D721B"/>
    <w:rsid w:val="003E1035"/>
    <w:rsid w:val="003E17F2"/>
    <w:rsid w:val="003E19F7"/>
    <w:rsid w:val="003E1EB2"/>
    <w:rsid w:val="003E26C4"/>
    <w:rsid w:val="003E487B"/>
    <w:rsid w:val="003E492C"/>
    <w:rsid w:val="003E5187"/>
    <w:rsid w:val="003E58B0"/>
    <w:rsid w:val="003E5E58"/>
    <w:rsid w:val="003E5EA4"/>
    <w:rsid w:val="003E6871"/>
    <w:rsid w:val="003E710D"/>
    <w:rsid w:val="003E7A9C"/>
    <w:rsid w:val="003E7C1B"/>
    <w:rsid w:val="003E7D2F"/>
    <w:rsid w:val="003F0072"/>
    <w:rsid w:val="003F0604"/>
    <w:rsid w:val="003F069C"/>
    <w:rsid w:val="003F140C"/>
    <w:rsid w:val="003F2163"/>
    <w:rsid w:val="003F328F"/>
    <w:rsid w:val="003F3460"/>
    <w:rsid w:val="003F3B8F"/>
    <w:rsid w:val="003F3E12"/>
    <w:rsid w:val="003F46F6"/>
    <w:rsid w:val="003F531A"/>
    <w:rsid w:val="003F6B5F"/>
    <w:rsid w:val="003F7390"/>
    <w:rsid w:val="003F7C9E"/>
    <w:rsid w:val="004025E8"/>
    <w:rsid w:val="00402768"/>
    <w:rsid w:val="00403B59"/>
    <w:rsid w:val="004046AC"/>
    <w:rsid w:val="00404C36"/>
    <w:rsid w:val="00406134"/>
    <w:rsid w:val="00406727"/>
    <w:rsid w:val="00406F38"/>
    <w:rsid w:val="004072C8"/>
    <w:rsid w:val="0040769E"/>
    <w:rsid w:val="00410567"/>
    <w:rsid w:val="004107CA"/>
    <w:rsid w:val="004110F0"/>
    <w:rsid w:val="004111BC"/>
    <w:rsid w:val="004114CB"/>
    <w:rsid w:val="00411524"/>
    <w:rsid w:val="004125F4"/>
    <w:rsid w:val="004126D4"/>
    <w:rsid w:val="00412F9B"/>
    <w:rsid w:val="00413096"/>
    <w:rsid w:val="0041360E"/>
    <w:rsid w:val="00413F16"/>
    <w:rsid w:val="00414703"/>
    <w:rsid w:val="0041533F"/>
    <w:rsid w:val="00415D2B"/>
    <w:rsid w:val="00416C0A"/>
    <w:rsid w:val="00417264"/>
    <w:rsid w:val="00421779"/>
    <w:rsid w:val="00421941"/>
    <w:rsid w:val="00424213"/>
    <w:rsid w:val="00424DE2"/>
    <w:rsid w:val="0042557F"/>
    <w:rsid w:val="00425BBD"/>
    <w:rsid w:val="004261EC"/>
    <w:rsid w:val="0042795A"/>
    <w:rsid w:val="00430278"/>
    <w:rsid w:val="00430922"/>
    <w:rsid w:val="00431848"/>
    <w:rsid w:val="00431B50"/>
    <w:rsid w:val="004320E6"/>
    <w:rsid w:val="00432528"/>
    <w:rsid w:val="00432836"/>
    <w:rsid w:val="004336AC"/>
    <w:rsid w:val="00434119"/>
    <w:rsid w:val="00435DF2"/>
    <w:rsid w:val="004373D1"/>
    <w:rsid w:val="0043778D"/>
    <w:rsid w:val="0044058C"/>
    <w:rsid w:val="00442529"/>
    <w:rsid w:val="00442AE3"/>
    <w:rsid w:val="00442FC8"/>
    <w:rsid w:val="0044467D"/>
    <w:rsid w:val="004449FE"/>
    <w:rsid w:val="00444FF5"/>
    <w:rsid w:val="004454C2"/>
    <w:rsid w:val="00446FF4"/>
    <w:rsid w:val="00447223"/>
    <w:rsid w:val="00447347"/>
    <w:rsid w:val="00447F33"/>
    <w:rsid w:val="00450A27"/>
    <w:rsid w:val="00451340"/>
    <w:rsid w:val="00451618"/>
    <w:rsid w:val="00451EC2"/>
    <w:rsid w:val="00451F63"/>
    <w:rsid w:val="004521B8"/>
    <w:rsid w:val="00452320"/>
    <w:rsid w:val="00454005"/>
    <w:rsid w:val="0045545E"/>
    <w:rsid w:val="00456734"/>
    <w:rsid w:val="00456E55"/>
    <w:rsid w:val="00457DC7"/>
    <w:rsid w:val="00457EEF"/>
    <w:rsid w:val="00460D04"/>
    <w:rsid w:val="00463011"/>
    <w:rsid w:val="00463357"/>
    <w:rsid w:val="00463A04"/>
    <w:rsid w:val="00464C34"/>
    <w:rsid w:val="00465255"/>
    <w:rsid w:val="0046666C"/>
    <w:rsid w:val="004666F2"/>
    <w:rsid w:val="004666FF"/>
    <w:rsid w:val="004679A1"/>
    <w:rsid w:val="00472B3F"/>
    <w:rsid w:val="00472B99"/>
    <w:rsid w:val="0047331B"/>
    <w:rsid w:val="00473718"/>
    <w:rsid w:val="00473869"/>
    <w:rsid w:val="004739E4"/>
    <w:rsid w:val="00473D0A"/>
    <w:rsid w:val="0047410E"/>
    <w:rsid w:val="00474289"/>
    <w:rsid w:val="00475BA9"/>
    <w:rsid w:val="00475E8D"/>
    <w:rsid w:val="00475F43"/>
    <w:rsid w:val="004760CD"/>
    <w:rsid w:val="0047664B"/>
    <w:rsid w:val="00476EDE"/>
    <w:rsid w:val="00476F81"/>
    <w:rsid w:val="0048054A"/>
    <w:rsid w:val="0048116D"/>
    <w:rsid w:val="004818E8"/>
    <w:rsid w:val="0048199E"/>
    <w:rsid w:val="00482D05"/>
    <w:rsid w:val="00482F67"/>
    <w:rsid w:val="00483006"/>
    <w:rsid w:val="004839B2"/>
    <w:rsid w:val="00484915"/>
    <w:rsid w:val="00485961"/>
    <w:rsid w:val="00486FD5"/>
    <w:rsid w:val="00486FDC"/>
    <w:rsid w:val="00487080"/>
    <w:rsid w:val="00487387"/>
    <w:rsid w:val="004878AA"/>
    <w:rsid w:val="00490206"/>
    <w:rsid w:val="00490252"/>
    <w:rsid w:val="004919FD"/>
    <w:rsid w:val="00494082"/>
    <w:rsid w:val="00494231"/>
    <w:rsid w:val="004971AD"/>
    <w:rsid w:val="00497861"/>
    <w:rsid w:val="004A0D64"/>
    <w:rsid w:val="004A132C"/>
    <w:rsid w:val="004A1C38"/>
    <w:rsid w:val="004A1DC7"/>
    <w:rsid w:val="004A1E9C"/>
    <w:rsid w:val="004A240A"/>
    <w:rsid w:val="004A2587"/>
    <w:rsid w:val="004A42A5"/>
    <w:rsid w:val="004A430C"/>
    <w:rsid w:val="004A4CA9"/>
    <w:rsid w:val="004A511A"/>
    <w:rsid w:val="004B0312"/>
    <w:rsid w:val="004B03F3"/>
    <w:rsid w:val="004B14CF"/>
    <w:rsid w:val="004B26D9"/>
    <w:rsid w:val="004B2C5E"/>
    <w:rsid w:val="004B4202"/>
    <w:rsid w:val="004B4EEE"/>
    <w:rsid w:val="004B774B"/>
    <w:rsid w:val="004B7925"/>
    <w:rsid w:val="004C0CFF"/>
    <w:rsid w:val="004C129C"/>
    <w:rsid w:val="004C1455"/>
    <w:rsid w:val="004C15DC"/>
    <w:rsid w:val="004C1E94"/>
    <w:rsid w:val="004C3EC2"/>
    <w:rsid w:val="004C4629"/>
    <w:rsid w:val="004C4B71"/>
    <w:rsid w:val="004C4C28"/>
    <w:rsid w:val="004C4CF1"/>
    <w:rsid w:val="004C4E07"/>
    <w:rsid w:val="004C5A01"/>
    <w:rsid w:val="004D087E"/>
    <w:rsid w:val="004D0D5D"/>
    <w:rsid w:val="004D19DB"/>
    <w:rsid w:val="004D1E88"/>
    <w:rsid w:val="004D2080"/>
    <w:rsid w:val="004D2D57"/>
    <w:rsid w:val="004D3CD7"/>
    <w:rsid w:val="004D3DB8"/>
    <w:rsid w:val="004D4C8A"/>
    <w:rsid w:val="004D4F04"/>
    <w:rsid w:val="004D58DE"/>
    <w:rsid w:val="004D63E2"/>
    <w:rsid w:val="004D70D2"/>
    <w:rsid w:val="004E18F8"/>
    <w:rsid w:val="004E1B4A"/>
    <w:rsid w:val="004E2272"/>
    <w:rsid w:val="004E22C0"/>
    <w:rsid w:val="004E3F30"/>
    <w:rsid w:val="004E4229"/>
    <w:rsid w:val="004E43FD"/>
    <w:rsid w:val="004E46AB"/>
    <w:rsid w:val="004E46F8"/>
    <w:rsid w:val="004E50C8"/>
    <w:rsid w:val="004E6532"/>
    <w:rsid w:val="004E653E"/>
    <w:rsid w:val="004E65F5"/>
    <w:rsid w:val="004E6EC7"/>
    <w:rsid w:val="004E7BAB"/>
    <w:rsid w:val="004F1D83"/>
    <w:rsid w:val="004F2A0D"/>
    <w:rsid w:val="004F2D77"/>
    <w:rsid w:val="004F3E28"/>
    <w:rsid w:val="004F59F5"/>
    <w:rsid w:val="004F5CA0"/>
    <w:rsid w:val="004F621F"/>
    <w:rsid w:val="004F6227"/>
    <w:rsid w:val="005011F9"/>
    <w:rsid w:val="00501480"/>
    <w:rsid w:val="00501489"/>
    <w:rsid w:val="005018E3"/>
    <w:rsid w:val="00502EAE"/>
    <w:rsid w:val="00503A1B"/>
    <w:rsid w:val="005049EA"/>
    <w:rsid w:val="00504A5D"/>
    <w:rsid w:val="00504CFE"/>
    <w:rsid w:val="0050500F"/>
    <w:rsid w:val="00505279"/>
    <w:rsid w:val="00505C61"/>
    <w:rsid w:val="005063E1"/>
    <w:rsid w:val="00506F8E"/>
    <w:rsid w:val="00507027"/>
    <w:rsid w:val="0050765D"/>
    <w:rsid w:val="00507CC5"/>
    <w:rsid w:val="00510B65"/>
    <w:rsid w:val="005114C0"/>
    <w:rsid w:val="00511B9F"/>
    <w:rsid w:val="005145C8"/>
    <w:rsid w:val="00514F44"/>
    <w:rsid w:val="00515561"/>
    <w:rsid w:val="00515C5B"/>
    <w:rsid w:val="00516BBB"/>
    <w:rsid w:val="00517C54"/>
    <w:rsid w:val="005201C5"/>
    <w:rsid w:val="00522579"/>
    <w:rsid w:val="00523E83"/>
    <w:rsid w:val="00523F26"/>
    <w:rsid w:val="005248BB"/>
    <w:rsid w:val="005266C4"/>
    <w:rsid w:val="005276E2"/>
    <w:rsid w:val="00527DB8"/>
    <w:rsid w:val="005308A5"/>
    <w:rsid w:val="00530C7F"/>
    <w:rsid w:val="005314E9"/>
    <w:rsid w:val="00531723"/>
    <w:rsid w:val="00532071"/>
    <w:rsid w:val="005321CE"/>
    <w:rsid w:val="00532234"/>
    <w:rsid w:val="0053275E"/>
    <w:rsid w:val="00532AB3"/>
    <w:rsid w:val="0053324F"/>
    <w:rsid w:val="00533BBC"/>
    <w:rsid w:val="00533D51"/>
    <w:rsid w:val="00534163"/>
    <w:rsid w:val="00534BBC"/>
    <w:rsid w:val="00536F0F"/>
    <w:rsid w:val="0053794D"/>
    <w:rsid w:val="005407FE"/>
    <w:rsid w:val="00540803"/>
    <w:rsid w:val="0054101E"/>
    <w:rsid w:val="00541EF9"/>
    <w:rsid w:val="005431CF"/>
    <w:rsid w:val="00543CE9"/>
    <w:rsid w:val="00543D0A"/>
    <w:rsid w:val="00544184"/>
    <w:rsid w:val="0054457C"/>
    <w:rsid w:val="00544A48"/>
    <w:rsid w:val="00544E5D"/>
    <w:rsid w:val="005454F3"/>
    <w:rsid w:val="005455E5"/>
    <w:rsid w:val="0054584B"/>
    <w:rsid w:val="00545A98"/>
    <w:rsid w:val="0054681B"/>
    <w:rsid w:val="005475A7"/>
    <w:rsid w:val="0054779A"/>
    <w:rsid w:val="00547BA1"/>
    <w:rsid w:val="00550808"/>
    <w:rsid w:val="0055199D"/>
    <w:rsid w:val="0055216F"/>
    <w:rsid w:val="005531DF"/>
    <w:rsid w:val="005533F9"/>
    <w:rsid w:val="00554C64"/>
    <w:rsid w:val="005554D3"/>
    <w:rsid w:val="00555D11"/>
    <w:rsid w:val="00556101"/>
    <w:rsid w:val="00557CB1"/>
    <w:rsid w:val="00560288"/>
    <w:rsid w:val="0056091E"/>
    <w:rsid w:val="00561371"/>
    <w:rsid w:val="0056172D"/>
    <w:rsid w:val="00561D0E"/>
    <w:rsid w:val="00562D93"/>
    <w:rsid w:val="005633A8"/>
    <w:rsid w:val="005635F3"/>
    <w:rsid w:val="005640C5"/>
    <w:rsid w:val="0056411C"/>
    <w:rsid w:val="005641A8"/>
    <w:rsid w:val="00564928"/>
    <w:rsid w:val="00564F38"/>
    <w:rsid w:val="00565B4C"/>
    <w:rsid w:val="00566107"/>
    <w:rsid w:val="005663FF"/>
    <w:rsid w:val="005672A6"/>
    <w:rsid w:val="005677E5"/>
    <w:rsid w:val="00570D24"/>
    <w:rsid w:val="00570FB4"/>
    <w:rsid w:val="00571872"/>
    <w:rsid w:val="00574C1A"/>
    <w:rsid w:val="0057521E"/>
    <w:rsid w:val="00575FF3"/>
    <w:rsid w:val="00577918"/>
    <w:rsid w:val="00577C43"/>
    <w:rsid w:val="00580204"/>
    <w:rsid w:val="00580EEB"/>
    <w:rsid w:val="00580FCF"/>
    <w:rsid w:val="005817C5"/>
    <w:rsid w:val="00582DA6"/>
    <w:rsid w:val="005831E5"/>
    <w:rsid w:val="00583474"/>
    <w:rsid w:val="00583673"/>
    <w:rsid w:val="005837F4"/>
    <w:rsid w:val="00583D08"/>
    <w:rsid w:val="00583E21"/>
    <w:rsid w:val="0058428F"/>
    <w:rsid w:val="00584689"/>
    <w:rsid w:val="00584B0C"/>
    <w:rsid w:val="0058674E"/>
    <w:rsid w:val="00587BE7"/>
    <w:rsid w:val="00587CBC"/>
    <w:rsid w:val="00592A31"/>
    <w:rsid w:val="005959DF"/>
    <w:rsid w:val="00595CFD"/>
    <w:rsid w:val="00595DF1"/>
    <w:rsid w:val="00596524"/>
    <w:rsid w:val="00596A00"/>
    <w:rsid w:val="00596ECB"/>
    <w:rsid w:val="0059752B"/>
    <w:rsid w:val="00597D35"/>
    <w:rsid w:val="005A0395"/>
    <w:rsid w:val="005A07CD"/>
    <w:rsid w:val="005A209C"/>
    <w:rsid w:val="005A210F"/>
    <w:rsid w:val="005A37B8"/>
    <w:rsid w:val="005A3ECF"/>
    <w:rsid w:val="005A4A36"/>
    <w:rsid w:val="005A4CDF"/>
    <w:rsid w:val="005A52AE"/>
    <w:rsid w:val="005A6D6D"/>
    <w:rsid w:val="005A7264"/>
    <w:rsid w:val="005A7E02"/>
    <w:rsid w:val="005B0C81"/>
    <w:rsid w:val="005B13F2"/>
    <w:rsid w:val="005B15F8"/>
    <w:rsid w:val="005B1601"/>
    <w:rsid w:val="005B1F24"/>
    <w:rsid w:val="005B2A01"/>
    <w:rsid w:val="005B2DDB"/>
    <w:rsid w:val="005B4CFC"/>
    <w:rsid w:val="005B52F4"/>
    <w:rsid w:val="005B58B0"/>
    <w:rsid w:val="005B58CF"/>
    <w:rsid w:val="005B5F7F"/>
    <w:rsid w:val="005B7961"/>
    <w:rsid w:val="005C0298"/>
    <w:rsid w:val="005C0769"/>
    <w:rsid w:val="005C2FF2"/>
    <w:rsid w:val="005C360A"/>
    <w:rsid w:val="005C3A6F"/>
    <w:rsid w:val="005C4A13"/>
    <w:rsid w:val="005C4CAD"/>
    <w:rsid w:val="005C5A3E"/>
    <w:rsid w:val="005C6F87"/>
    <w:rsid w:val="005D03B2"/>
    <w:rsid w:val="005D1131"/>
    <w:rsid w:val="005D1988"/>
    <w:rsid w:val="005D221C"/>
    <w:rsid w:val="005D2A43"/>
    <w:rsid w:val="005D2C9F"/>
    <w:rsid w:val="005D3977"/>
    <w:rsid w:val="005D4EBB"/>
    <w:rsid w:val="005D582E"/>
    <w:rsid w:val="005D6EA0"/>
    <w:rsid w:val="005E094D"/>
    <w:rsid w:val="005E180E"/>
    <w:rsid w:val="005E3130"/>
    <w:rsid w:val="005E6278"/>
    <w:rsid w:val="005E7B36"/>
    <w:rsid w:val="005F02E6"/>
    <w:rsid w:val="005F10F1"/>
    <w:rsid w:val="005F1911"/>
    <w:rsid w:val="005F270A"/>
    <w:rsid w:val="005F2CBA"/>
    <w:rsid w:val="005F317D"/>
    <w:rsid w:val="005F3216"/>
    <w:rsid w:val="005F3C1B"/>
    <w:rsid w:val="005F4DFE"/>
    <w:rsid w:val="005F4EF9"/>
    <w:rsid w:val="00600FDA"/>
    <w:rsid w:val="006015AE"/>
    <w:rsid w:val="006017B1"/>
    <w:rsid w:val="00601BAF"/>
    <w:rsid w:val="006026D3"/>
    <w:rsid w:val="0060270B"/>
    <w:rsid w:val="00602B63"/>
    <w:rsid w:val="0060467E"/>
    <w:rsid w:val="00604F9A"/>
    <w:rsid w:val="006052BB"/>
    <w:rsid w:val="0060685F"/>
    <w:rsid w:val="00607066"/>
    <w:rsid w:val="00607197"/>
    <w:rsid w:val="0060740D"/>
    <w:rsid w:val="00607415"/>
    <w:rsid w:val="00607A16"/>
    <w:rsid w:val="00610543"/>
    <w:rsid w:val="006107FD"/>
    <w:rsid w:val="00610869"/>
    <w:rsid w:val="006109F8"/>
    <w:rsid w:val="00610C63"/>
    <w:rsid w:val="006147EA"/>
    <w:rsid w:val="00617070"/>
    <w:rsid w:val="00623075"/>
    <w:rsid w:val="00623910"/>
    <w:rsid w:val="00624A27"/>
    <w:rsid w:val="00624D74"/>
    <w:rsid w:val="006253B9"/>
    <w:rsid w:val="0062674F"/>
    <w:rsid w:val="00626D02"/>
    <w:rsid w:val="0062716D"/>
    <w:rsid w:val="00627AF2"/>
    <w:rsid w:val="006301B3"/>
    <w:rsid w:val="00630314"/>
    <w:rsid w:val="00630425"/>
    <w:rsid w:val="00630561"/>
    <w:rsid w:val="00632660"/>
    <w:rsid w:val="00632F94"/>
    <w:rsid w:val="00633F98"/>
    <w:rsid w:val="0063417F"/>
    <w:rsid w:val="00634901"/>
    <w:rsid w:val="00635BFE"/>
    <w:rsid w:val="0063632F"/>
    <w:rsid w:val="00637EC6"/>
    <w:rsid w:val="00637F4B"/>
    <w:rsid w:val="00641C1A"/>
    <w:rsid w:val="00644D40"/>
    <w:rsid w:val="00650C56"/>
    <w:rsid w:val="00650F8C"/>
    <w:rsid w:val="0065241E"/>
    <w:rsid w:val="00652858"/>
    <w:rsid w:val="00652BB6"/>
    <w:rsid w:val="006531A8"/>
    <w:rsid w:val="006542F1"/>
    <w:rsid w:val="00654F21"/>
    <w:rsid w:val="006558DC"/>
    <w:rsid w:val="00655911"/>
    <w:rsid w:val="00656B27"/>
    <w:rsid w:val="00657633"/>
    <w:rsid w:val="00657F8B"/>
    <w:rsid w:val="00660401"/>
    <w:rsid w:val="00660A11"/>
    <w:rsid w:val="006618FC"/>
    <w:rsid w:val="00661AFA"/>
    <w:rsid w:val="00662F53"/>
    <w:rsid w:val="00663B99"/>
    <w:rsid w:val="00663D00"/>
    <w:rsid w:val="00663E86"/>
    <w:rsid w:val="00663E97"/>
    <w:rsid w:val="00664125"/>
    <w:rsid w:val="006648B7"/>
    <w:rsid w:val="00664DAD"/>
    <w:rsid w:val="00665322"/>
    <w:rsid w:val="00666708"/>
    <w:rsid w:val="0067033F"/>
    <w:rsid w:val="00670A1F"/>
    <w:rsid w:val="00671B7E"/>
    <w:rsid w:val="0067573F"/>
    <w:rsid w:val="006767BC"/>
    <w:rsid w:val="00677469"/>
    <w:rsid w:val="00677749"/>
    <w:rsid w:val="00681566"/>
    <w:rsid w:val="0068180B"/>
    <w:rsid w:val="00681D75"/>
    <w:rsid w:val="0068242E"/>
    <w:rsid w:val="006826D9"/>
    <w:rsid w:val="00683F8E"/>
    <w:rsid w:val="0068423F"/>
    <w:rsid w:val="006847E1"/>
    <w:rsid w:val="00684BAF"/>
    <w:rsid w:val="00684D71"/>
    <w:rsid w:val="00684F90"/>
    <w:rsid w:val="00686FE3"/>
    <w:rsid w:val="0069037B"/>
    <w:rsid w:val="00690415"/>
    <w:rsid w:val="006923C2"/>
    <w:rsid w:val="006935CB"/>
    <w:rsid w:val="006937B5"/>
    <w:rsid w:val="00696EBB"/>
    <w:rsid w:val="006A048D"/>
    <w:rsid w:val="006A1010"/>
    <w:rsid w:val="006A1AD3"/>
    <w:rsid w:val="006A1F10"/>
    <w:rsid w:val="006A3648"/>
    <w:rsid w:val="006A4D4E"/>
    <w:rsid w:val="006A5F32"/>
    <w:rsid w:val="006A690A"/>
    <w:rsid w:val="006A6E86"/>
    <w:rsid w:val="006A7586"/>
    <w:rsid w:val="006A758F"/>
    <w:rsid w:val="006A7673"/>
    <w:rsid w:val="006A796F"/>
    <w:rsid w:val="006B13EE"/>
    <w:rsid w:val="006B2417"/>
    <w:rsid w:val="006B399A"/>
    <w:rsid w:val="006B561B"/>
    <w:rsid w:val="006B630A"/>
    <w:rsid w:val="006B6F3C"/>
    <w:rsid w:val="006B742A"/>
    <w:rsid w:val="006C1457"/>
    <w:rsid w:val="006C1577"/>
    <w:rsid w:val="006C1EB0"/>
    <w:rsid w:val="006C29CE"/>
    <w:rsid w:val="006C4550"/>
    <w:rsid w:val="006C469C"/>
    <w:rsid w:val="006C5ACD"/>
    <w:rsid w:val="006C6300"/>
    <w:rsid w:val="006D0007"/>
    <w:rsid w:val="006D113E"/>
    <w:rsid w:val="006D1544"/>
    <w:rsid w:val="006D2BAE"/>
    <w:rsid w:val="006D36B7"/>
    <w:rsid w:val="006D382A"/>
    <w:rsid w:val="006D3A49"/>
    <w:rsid w:val="006D444F"/>
    <w:rsid w:val="006D4BF4"/>
    <w:rsid w:val="006D59DE"/>
    <w:rsid w:val="006D71FC"/>
    <w:rsid w:val="006D7FB8"/>
    <w:rsid w:val="006E04D1"/>
    <w:rsid w:val="006E16F1"/>
    <w:rsid w:val="006E17A6"/>
    <w:rsid w:val="006E1A93"/>
    <w:rsid w:val="006E359B"/>
    <w:rsid w:val="006E4265"/>
    <w:rsid w:val="006E42A1"/>
    <w:rsid w:val="006E5D99"/>
    <w:rsid w:val="006E6200"/>
    <w:rsid w:val="006E75BF"/>
    <w:rsid w:val="006E78A8"/>
    <w:rsid w:val="006F09B5"/>
    <w:rsid w:val="006F1349"/>
    <w:rsid w:val="006F17DB"/>
    <w:rsid w:val="006F1964"/>
    <w:rsid w:val="006F1F45"/>
    <w:rsid w:val="006F201F"/>
    <w:rsid w:val="006F2467"/>
    <w:rsid w:val="006F2926"/>
    <w:rsid w:val="006F2C03"/>
    <w:rsid w:val="006F3A6F"/>
    <w:rsid w:val="006F48B3"/>
    <w:rsid w:val="006F48B8"/>
    <w:rsid w:val="006F528F"/>
    <w:rsid w:val="006F553C"/>
    <w:rsid w:val="006F5924"/>
    <w:rsid w:val="006F6258"/>
    <w:rsid w:val="006F65E1"/>
    <w:rsid w:val="006F7814"/>
    <w:rsid w:val="006F78E6"/>
    <w:rsid w:val="006F7F8E"/>
    <w:rsid w:val="00701552"/>
    <w:rsid w:val="007020ED"/>
    <w:rsid w:val="0070382C"/>
    <w:rsid w:val="007044FE"/>
    <w:rsid w:val="00704FDE"/>
    <w:rsid w:val="00705448"/>
    <w:rsid w:val="007076D5"/>
    <w:rsid w:val="00707FBE"/>
    <w:rsid w:val="007102D5"/>
    <w:rsid w:val="007122EC"/>
    <w:rsid w:val="00712BB4"/>
    <w:rsid w:val="00714504"/>
    <w:rsid w:val="00715127"/>
    <w:rsid w:val="007156C6"/>
    <w:rsid w:val="007161EB"/>
    <w:rsid w:val="0071621F"/>
    <w:rsid w:val="0071742A"/>
    <w:rsid w:val="00720252"/>
    <w:rsid w:val="00720E07"/>
    <w:rsid w:val="007218CC"/>
    <w:rsid w:val="00723C84"/>
    <w:rsid w:val="007244AC"/>
    <w:rsid w:val="007244AF"/>
    <w:rsid w:val="00730377"/>
    <w:rsid w:val="00730E8F"/>
    <w:rsid w:val="00731570"/>
    <w:rsid w:val="00731D48"/>
    <w:rsid w:val="0073201E"/>
    <w:rsid w:val="007325E1"/>
    <w:rsid w:val="00732695"/>
    <w:rsid w:val="00732C67"/>
    <w:rsid w:val="00732D76"/>
    <w:rsid w:val="00732FED"/>
    <w:rsid w:val="00733839"/>
    <w:rsid w:val="00733864"/>
    <w:rsid w:val="00733866"/>
    <w:rsid w:val="00734484"/>
    <w:rsid w:val="007365FC"/>
    <w:rsid w:val="00737345"/>
    <w:rsid w:val="00737D31"/>
    <w:rsid w:val="00741D14"/>
    <w:rsid w:val="00742076"/>
    <w:rsid w:val="00744793"/>
    <w:rsid w:val="00745136"/>
    <w:rsid w:val="007459BC"/>
    <w:rsid w:val="00745A15"/>
    <w:rsid w:val="00745DD2"/>
    <w:rsid w:val="00747E6C"/>
    <w:rsid w:val="00750219"/>
    <w:rsid w:val="00751354"/>
    <w:rsid w:val="00751E77"/>
    <w:rsid w:val="00754C2E"/>
    <w:rsid w:val="00755B84"/>
    <w:rsid w:val="00755E8D"/>
    <w:rsid w:val="007563E2"/>
    <w:rsid w:val="00756909"/>
    <w:rsid w:val="00756B26"/>
    <w:rsid w:val="00757596"/>
    <w:rsid w:val="00757AEA"/>
    <w:rsid w:val="00760D10"/>
    <w:rsid w:val="00761CC5"/>
    <w:rsid w:val="00762108"/>
    <w:rsid w:val="00763455"/>
    <w:rsid w:val="00767EEE"/>
    <w:rsid w:val="00767F95"/>
    <w:rsid w:val="007701E9"/>
    <w:rsid w:val="00770E38"/>
    <w:rsid w:val="00771C66"/>
    <w:rsid w:val="007733C7"/>
    <w:rsid w:val="00773426"/>
    <w:rsid w:val="0077409F"/>
    <w:rsid w:val="0077448C"/>
    <w:rsid w:val="00774CA9"/>
    <w:rsid w:val="007751DE"/>
    <w:rsid w:val="0077558B"/>
    <w:rsid w:val="007765CA"/>
    <w:rsid w:val="007812B3"/>
    <w:rsid w:val="0078133D"/>
    <w:rsid w:val="00781927"/>
    <w:rsid w:val="00781E34"/>
    <w:rsid w:val="0078284A"/>
    <w:rsid w:val="007852B1"/>
    <w:rsid w:val="00785785"/>
    <w:rsid w:val="00785D80"/>
    <w:rsid w:val="00787421"/>
    <w:rsid w:val="00787C67"/>
    <w:rsid w:val="00787E89"/>
    <w:rsid w:val="0079028B"/>
    <w:rsid w:val="00791DED"/>
    <w:rsid w:val="00791EA2"/>
    <w:rsid w:val="00792AA8"/>
    <w:rsid w:val="00792EC4"/>
    <w:rsid w:val="00793891"/>
    <w:rsid w:val="00793AAE"/>
    <w:rsid w:val="00794972"/>
    <w:rsid w:val="00795DFE"/>
    <w:rsid w:val="00795F79"/>
    <w:rsid w:val="00796EE7"/>
    <w:rsid w:val="00797022"/>
    <w:rsid w:val="00797244"/>
    <w:rsid w:val="007A1985"/>
    <w:rsid w:val="007A2D2E"/>
    <w:rsid w:val="007A3ABE"/>
    <w:rsid w:val="007A4CB0"/>
    <w:rsid w:val="007A52DA"/>
    <w:rsid w:val="007A58DB"/>
    <w:rsid w:val="007A5B52"/>
    <w:rsid w:val="007A5E79"/>
    <w:rsid w:val="007A62C3"/>
    <w:rsid w:val="007B2D0B"/>
    <w:rsid w:val="007B2D2D"/>
    <w:rsid w:val="007B2F82"/>
    <w:rsid w:val="007B4102"/>
    <w:rsid w:val="007B49E5"/>
    <w:rsid w:val="007B651A"/>
    <w:rsid w:val="007B6648"/>
    <w:rsid w:val="007B6669"/>
    <w:rsid w:val="007B788D"/>
    <w:rsid w:val="007B7D86"/>
    <w:rsid w:val="007C06C9"/>
    <w:rsid w:val="007C1D90"/>
    <w:rsid w:val="007C311B"/>
    <w:rsid w:val="007C36AE"/>
    <w:rsid w:val="007C3805"/>
    <w:rsid w:val="007C3A7E"/>
    <w:rsid w:val="007C459A"/>
    <w:rsid w:val="007C4A2D"/>
    <w:rsid w:val="007C506B"/>
    <w:rsid w:val="007C5360"/>
    <w:rsid w:val="007C5F02"/>
    <w:rsid w:val="007C6C47"/>
    <w:rsid w:val="007C6EE6"/>
    <w:rsid w:val="007D0986"/>
    <w:rsid w:val="007D2C2B"/>
    <w:rsid w:val="007D3836"/>
    <w:rsid w:val="007D44FE"/>
    <w:rsid w:val="007D4E87"/>
    <w:rsid w:val="007D51BA"/>
    <w:rsid w:val="007D5600"/>
    <w:rsid w:val="007D59A7"/>
    <w:rsid w:val="007D698B"/>
    <w:rsid w:val="007D6EE1"/>
    <w:rsid w:val="007D72D9"/>
    <w:rsid w:val="007D7BB6"/>
    <w:rsid w:val="007E06A4"/>
    <w:rsid w:val="007E0EDD"/>
    <w:rsid w:val="007E111D"/>
    <w:rsid w:val="007E1C22"/>
    <w:rsid w:val="007E4F93"/>
    <w:rsid w:val="007E5D35"/>
    <w:rsid w:val="007E6D64"/>
    <w:rsid w:val="007E7123"/>
    <w:rsid w:val="007E77B4"/>
    <w:rsid w:val="007E78DA"/>
    <w:rsid w:val="007E79DB"/>
    <w:rsid w:val="007F1E5A"/>
    <w:rsid w:val="007F32BA"/>
    <w:rsid w:val="007F3DE2"/>
    <w:rsid w:val="007F4BD0"/>
    <w:rsid w:val="007F4D65"/>
    <w:rsid w:val="007F52A6"/>
    <w:rsid w:val="007F55E2"/>
    <w:rsid w:val="007F5615"/>
    <w:rsid w:val="007F5789"/>
    <w:rsid w:val="007F68DA"/>
    <w:rsid w:val="008004E7"/>
    <w:rsid w:val="00801108"/>
    <w:rsid w:val="008022D6"/>
    <w:rsid w:val="0080276C"/>
    <w:rsid w:val="0080347B"/>
    <w:rsid w:val="008060C8"/>
    <w:rsid w:val="008060EC"/>
    <w:rsid w:val="008104C8"/>
    <w:rsid w:val="00810F5C"/>
    <w:rsid w:val="00812723"/>
    <w:rsid w:val="008127D7"/>
    <w:rsid w:val="00813FFC"/>
    <w:rsid w:val="00814A6A"/>
    <w:rsid w:val="00814ED4"/>
    <w:rsid w:val="008152E3"/>
    <w:rsid w:val="008152F7"/>
    <w:rsid w:val="0081557C"/>
    <w:rsid w:val="008159B1"/>
    <w:rsid w:val="00816820"/>
    <w:rsid w:val="00820282"/>
    <w:rsid w:val="00820A39"/>
    <w:rsid w:val="00820F24"/>
    <w:rsid w:val="0082117F"/>
    <w:rsid w:val="00822965"/>
    <w:rsid w:val="00823B14"/>
    <w:rsid w:val="008240B3"/>
    <w:rsid w:val="008249DE"/>
    <w:rsid w:val="0082619C"/>
    <w:rsid w:val="0082656C"/>
    <w:rsid w:val="008265CA"/>
    <w:rsid w:val="00827E7A"/>
    <w:rsid w:val="00831A0D"/>
    <w:rsid w:val="008326BA"/>
    <w:rsid w:val="00833153"/>
    <w:rsid w:val="00836376"/>
    <w:rsid w:val="00836AD2"/>
    <w:rsid w:val="00836C50"/>
    <w:rsid w:val="0083707D"/>
    <w:rsid w:val="008375CC"/>
    <w:rsid w:val="00837D80"/>
    <w:rsid w:val="00840000"/>
    <w:rsid w:val="00840BEC"/>
    <w:rsid w:val="008415CC"/>
    <w:rsid w:val="00842862"/>
    <w:rsid w:val="00843A8C"/>
    <w:rsid w:val="00843E32"/>
    <w:rsid w:val="00844D58"/>
    <w:rsid w:val="00844DE4"/>
    <w:rsid w:val="00845199"/>
    <w:rsid w:val="00847DFE"/>
    <w:rsid w:val="00850D57"/>
    <w:rsid w:val="00850F84"/>
    <w:rsid w:val="00851111"/>
    <w:rsid w:val="008525CF"/>
    <w:rsid w:val="0085299E"/>
    <w:rsid w:val="00853844"/>
    <w:rsid w:val="00853987"/>
    <w:rsid w:val="00853E3E"/>
    <w:rsid w:val="008542CC"/>
    <w:rsid w:val="00855460"/>
    <w:rsid w:val="00855681"/>
    <w:rsid w:val="00857169"/>
    <w:rsid w:val="00857A96"/>
    <w:rsid w:val="00860973"/>
    <w:rsid w:val="00860B77"/>
    <w:rsid w:val="0086183E"/>
    <w:rsid w:val="00861FA9"/>
    <w:rsid w:val="008623A1"/>
    <w:rsid w:val="0086248E"/>
    <w:rsid w:val="008648B5"/>
    <w:rsid w:val="0086641A"/>
    <w:rsid w:val="00866E99"/>
    <w:rsid w:val="008672AD"/>
    <w:rsid w:val="00867F68"/>
    <w:rsid w:val="0087038B"/>
    <w:rsid w:val="00870755"/>
    <w:rsid w:val="008712CF"/>
    <w:rsid w:val="0087356C"/>
    <w:rsid w:val="008737D3"/>
    <w:rsid w:val="0087437B"/>
    <w:rsid w:val="008746DC"/>
    <w:rsid w:val="00875CAB"/>
    <w:rsid w:val="00876670"/>
    <w:rsid w:val="00876925"/>
    <w:rsid w:val="00877CBF"/>
    <w:rsid w:val="008803C1"/>
    <w:rsid w:val="0088226E"/>
    <w:rsid w:val="00882D53"/>
    <w:rsid w:val="00883437"/>
    <w:rsid w:val="008834C5"/>
    <w:rsid w:val="00883911"/>
    <w:rsid w:val="00883C24"/>
    <w:rsid w:val="008846FA"/>
    <w:rsid w:val="008853F8"/>
    <w:rsid w:val="0088565B"/>
    <w:rsid w:val="008873EC"/>
    <w:rsid w:val="008875CE"/>
    <w:rsid w:val="008879F2"/>
    <w:rsid w:val="00890F5E"/>
    <w:rsid w:val="008922CE"/>
    <w:rsid w:val="008926A9"/>
    <w:rsid w:val="008953BD"/>
    <w:rsid w:val="0089593A"/>
    <w:rsid w:val="0089638F"/>
    <w:rsid w:val="00897777"/>
    <w:rsid w:val="008977D9"/>
    <w:rsid w:val="008979CD"/>
    <w:rsid w:val="00897DBD"/>
    <w:rsid w:val="008A13C8"/>
    <w:rsid w:val="008A2B79"/>
    <w:rsid w:val="008A2E74"/>
    <w:rsid w:val="008A4628"/>
    <w:rsid w:val="008A6DB4"/>
    <w:rsid w:val="008B082C"/>
    <w:rsid w:val="008B3762"/>
    <w:rsid w:val="008B3F7B"/>
    <w:rsid w:val="008B47CB"/>
    <w:rsid w:val="008B492E"/>
    <w:rsid w:val="008B5400"/>
    <w:rsid w:val="008B5A16"/>
    <w:rsid w:val="008B5C02"/>
    <w:rsid w:val="008B5C9B"/>
    <w:rsid w:val="008B5EA7"/>
    <w:rsid w:val="008B6A6C"/>
    <w:rsid w:val="008B6D13"/>
    <w:rsid w:val="008C15BB"/>
    <w:rsid w:val="008C20B1"/>
    <w:rsid w:val="008C28E5"/>
    <w:rsid w:val="008C49C1"/>
    <w:rsid w:val="008C4E5F"/>
    <w:rsid w:val="008C59AA"/>
    <w:rsid w:val="008C6813"/>
    <w:rsid w:val="008C6858"/>
    <w:rsid w:val="008C68E9"/>
    <w:rsid w:val="008C6C82"/>
    <w:rsid w:val="008D04DB"/>
    <w:rsid w:val="008D15F7"/>
    <w:rsid w:val="008D1FB2"/>
    <w:rsid w:val="008D1FDE"/>
    <w:rsid w:val="008D2A3E"/>
    <w:rsid w:val="008D2F54"/>
    <w:rsid w:val="008D3265"/>
    <w:rsid w:val="008D34EB"/>
    <w:rsid w:val="008D351D"/>
    <w:rsid w:val="008D3E5E"/>
    <w:rsid w:val="008D47E6"/>
    <w:rsid w:val="008D5560"/>
    <w:rsid w:val="008D5AC3"/>
    <w:rsid w:val="008D5C25"/>
    <w:rsid w:val="008D5CF8"/>
    <w:rsid w:val="008D6298"/>
    <w:rsid w:val="008D73FE"/>
    <w:rsid w:val="008E04D9"/>
    <w:rsid w:val="008E1157"/>
    <w:rsid w:val="008E1C45"/>
    <w:rsid w:val="008E242E"/>
    <w:rsid w:val="008E5D8D"/>
    <w:rsid w:val="008E6103"/>
    <w:rsid w:val="008E647B"/>
    <w:rsid w:val="008E79B6"/>
    <w:rsid w:val="008E7B61"/>
    <w:rsid w:val="008F0581"/>
    <w:rsid w:val="008F1B01"/>
    <w:rsid w:val="008F324A"/>
    <w:rsid w:val="008F3576"/>
    <w:rsid w:val="008F3AE2"/>
    <w:rsid w:val="008F40EF"/>
    <w:rsid w:val="008F4602"/>
    <w:rsid w:val="008F4A6B"/>
    <w:rsid w:val="008F6221"/>
    <w:rsid w:val="008F64BC"/>
    <w:rsid w:val="008F722B"/>
    <w:rsid w:val="008F777B"/>
    <w:rsid w:val="008F7CCE"/>
    <w:rsid w:val="009029A8"/>
    <w:rsid w:val="009031D8"/>
    <w:rsid w:val="009034B0"/>
    <w:rsid w:val="00903A86"/>
    <w:rsid w:val="009048B6"/>
    <w:rsid w:val="009064E2"/>
    <w:rsid w:val="00907099"/>
    <w:rsid w:val="009077C7"/>
    <w:rsid w:val="00907B64"/>
    <w:rsid w:val="009109EB"/>
    <w:rsid w:val="00910B70"/>
    <w:rsid w:val="00911184"/>
    <w:rsid w:val="00911241"/>
    <w:rsid w:val="0091220E"/>
    <w:rsid w:val="00912AD7"/>
    <w:rsid w:val="00913D61"/>
    <w:rsid w:val="0091465A"/>
    <w:rsid w:val="0091662C"/>
    <w:rsid w:val="00920216"/>
    <w:rsid w:val="00920463"/>
    <w:rsid w:val="009214A3"/>
    <w:rsid w:val="009218F9"/>
    <w:rsid w:val="00922E31"/>
    <w:rsid w:val="009231E5"/>
    <w:rsid w:val="009238C7"/>
    <w:rsid w:val="009239CB"/>
    <w:rsid w:val="00923D68"/>
    <w:rsid w:val="009245CA"/>
    <w:rsid w:val="009247CC"/>
    <w:rsid w:val="00924823"/>
    <w:rsid w:val="0092518A"/>
    <w:rsid w:val="0092696A"/>
    <w:rsid w:val="00926A15"/>
    <w:rsid w:val="00926E4D"/>
    <w:rsid w:val="0092780F"/>
    <w:rsid w:val="009302FD"/>
    <w:rsid w:val="00930972"/>
    <w:rsid w:val="00930AAF"/>
    <w:rsid w:val="009329B0"/>
    <w:rsid w:val="00932D6B"/>
    <w:rsid w:val="0093352D"/>
    <w:rsid w:val="009365D3"/>
    <w:rsid w:val="00936717"/>
    <w:rsid w:val="009367E8"/>
    <w:rsid w:val="009376FF"/>
    <w:rsid w:val="00940185"/>
    <w:rsid w:val="00940A4F"/>
    <w:rsid w:val="00940B46"/>
    <w:rsid w:val="00940BCD"/>
    <w:rsid w:val="00941279"/>
    <w:rsid w:val="0094176B"/>
    <w:rsid w:val="00941D7C"/>
    <w:rsid w:val="00943928"/>
    <w:rsid w:val="00944FCE"/>
    <w:rsid w:val="009462D5"/>
    <w:rsid w:val="00946E8A"/>
    <w:rsid w:val="00947EC4"/>
    <w:rsid w:val="00950F70"/>
    <w:rsid w:val="00952488"/>
    <w:rsid w:val="0095252D"/>
    <w:rsid w:val="00952BD4"/>
    <w:rsid w:val="00952E58"/>
    <w:rsid w:val="00953484"/>
    <w:rsid w:val="0095456C"/>
    <w:rsid w:val="009547B3"/>
    <w:rsid w:val="00955D13"/>
    <w:rsid w:val="00956905"/>
    <w:rsid w:val="00957515"/>
    <w:rsid w:val="00957A37"/>
    <w:rsid w:val="00960572"/>
    <w:rsid w:val="00960C8C"/>
    <w:rsid w:val="009614C6"/>
    <w:rsid w:val="009617AE"/>
    <w:rsid w:val="00962BFB"/>
    <w:rsid w:val="00962E1C"/>
    <w:rsid w:val="0096349D"/>
    <w:rsid w:val="009642AA"/>
    <w:rsid w:val="00964733"/>
    <w:rsid w:val="00964954"/>
    <w:rsid w:val="00965C97"/>
    <w:rsid w:val="0096657D"/>
    <w:rsid w:val="00966DEC"/>
    <w:rsid w:val="009711E7"/>
    <w:rsid w:val="00972EBB"/>
    <w:rsid w:val="009732BD"/>
    <w:rsid w:val="0097673B"/>
    <w:rsid w:val="00976FC9"/>
    <w:rsid w:val="0098086A"/>
    <w:rsid w:val="0098203C"/>
    <w:rsid w:val="0098306A"/>
    <w:rsid w:val="00986D82"/>
    <w:rsid w:val="00987386"/>
    <w:rsid w:val="00987B92"/>
    <w:rsid w:val="00987C7D"/>
    <w:rsid w:val="00990380"/>
    <w:rsid w:val="009921DB"/>
    <w:rsid w:val="009923CD"/>
    <w:rsid w:val="0099326A"/>
    <w:rsid w:val="009940EF"/>
    <w:rsid w:val="00994793"/>
    <w:rsid w:val="00994A8D"/>
    <w:rsid w:val="00994D06"/>
    <w:rsid w:val="00994EA3"/>
    <w:rsid w:val="00995364"/>
    <w:rsid w:val="009954E6"/>
    <w:rsid w:val="00996272"/>
    <w:rsid w:val="0099640E"/>
    <w:rsid w:val="00997292"/>
    <w:rsid w:val="00997CF0"/>
    <w:rsid w:val="009A0655"/>
    <w:rsid w:val="009A0BBC"/>
    <w:rsid w:val="009A1EE9"/>
    <w:rsid w:val="009A1FB5"/>
    <w:rsid w:val="009A2E5D"/>
    <w:rsid w:val="009A3A41"/>
    <w:rsid w:val="009A5AFD"/>
    <w:rsid w:val="009A6EFD"/>
    <w:rsid w:val="009B0485"/>
    <w:rsid w:val="009B0F08"/>
    <w:rsid w:val="009B24B7"/>
    <w:rsid w:val="009B313F"/>
    <w:rsid w:val="009B39DC"/>
    <w:rsid w:val="009B3EF7"/>
    <w:rsid w:val="009B4492"/>
    <w:rsid w:val="009B51C3"/>
    <w:rsid w:val="009B61E7"/>
    <w:rsid w:val="009B6430"/>
    <w:rsid w:val="009B6714"/>
    <w:rsid w:val="009B719C"/>
    <w:rsid w:val="009B74A2"/>
    <w:rsid w:val="009C130E"/>
    <w:rsid w:val="009C1690"/>
    <w:rsid w:val="009C21AE"/>
    <w:rsid w:val="009C3E6A"/>
    <w:rsid w:val="009C449D"/>
    <w:rsid w:val="009C4D0B"/>
    <w:rsid w:val="009C61A9"/>
    <w:rsid w:val="009C6E72"/>
    <w:rsid w:val="009D051D"/>
    <w:rsid w:val="009D0588"/>
    <w:rsid w:val="009D07CE"/>
    <w:rsid w:val="009D0F66"/>
    <w:rsid w:val="009D3C3F"/>
    <w:rsid w:val="009D4B3B"/>
    <w:rsid w:val="009D4D67"/>
    <w:rsid w:val="009D56BB"/>
    <w:rsid w:val="009D635B"/>
    <w:rsid w:val="009D66DC"/>
    <w:rsid w:val="009D6BBE"/>
    <w:rsid w:val="009D7F6F"/>
    <w:rsid w:val="009E0393"/>
    <w:rsid w:val="009E0658"/>
    <w:rsid w:val="009E07D3"/>
    <w:rsid w:val="009E100D"/>
    <w:rsid w:val="009E2325"/>
    <w:rsid w:val="009E2912"/>
    <w:rsid w:val="009E3B18"/>
    <w:rsid w:val="009E4F26"/>
    <w:rsid w:val="009E60AD"/>
    <w:rsid w:val="009F0050"/>
    <w:rsid w:val="009F00FD"/>
    <w:rsid w:val="009F06F2"/>
    <w:rsid w:val="009F095D"/>
    <w:rsid w:val="009F2987"/>
    <w:rsid w:val="009F3459"/>
    <w:rsid w:val="009F5159"/>
    <w:rsid w:val="009F6292"/>
    <w:rsid w:val="009F635E"/>
    <w:rsid w:val="009F70AD"/>
    <w:rsid w:val="00A01E35"/>
    <w:rsid w:val="00A02C5D"/>
    <w:rsid w:val="00A02EF2"/>
    <w:rsid w:val="00A031DC"/>
    <w:rsid w:val="00A032F1"/>
    <w:rsid w:val="00A03712"/>
    <w:rsid w:val="00A047CA"/>
    <w:rsid w:val="00A04B94"/>
    <w:rsid w:val="00A04F4B"/>
    <w:rsid w:val="00A0643E"/>
    <w:rsid w:val="00A06852"/>
    <w:rsid w:val="00A06871"/>
    <w:rsid w:val="00A06A24"/>
    <w:rsid w:val="00A1251C"/>
    <w:rsid w:val="00A13623"/>
    <w:rsid w:val="00A13891"/>
    <w:rsid w:val="00A140D3"/>
    <w:rsid w:val="00A1430D"/>
    <w:rsid w:val="00A1443B"/>
    <w:rsid w:val="00A1446B"/>
    <w:rsid w:val="00A15A9F"/>
    <w:rsid w:val="00A167F2"/>
    <w:rsid w:val="00A1727F"/>
    <w:rsid w:val="00A17EFE"/>
    <w:rsid w:val="00A20C78"/>
    <w:rsid w:val="00A2114F"/>
    <w:rsid w:val="00A2312E"/>
    <w:rsid w:val="00A24323"/>
    <w:rsid w:val="00A2512C"/>
    <w:rsid w:val="00A2515B"/>
    <w:rsid w:val="00A254A1"/>
    <w:rsid w:val="00A2588E"/>
    <w:rsid w:val="00A26EDF"/>
    <w:rsid w:val="00A2750A"/>
    <w:rsid w:val="00A27B08"/>
    <w:rsid w:val="00A30EBE"/>
    <w:rsid w:val="00A30FA5"/>
    <w:rsid w:val="00A31727"/>
    <w:rsid w:val="00A330E2"/>
    <w:rsid w:val="00A33282"/>
    <w:rsid w:val="00A343A3"/>
    <w:rsid w:val="00A34789"/>
    <w:rsid w:val="00A35609"/>
    <w:rsid w:val="00A3630E"/>
    <w:rsid w:val="00A3795F"/>
    <w:rsid w:val="00A37BB8"/>
    <w:rsid w:val="00A4081F"/>
    <w:rsid w:val="00A40C7B"/>
    <w:rsid w:val="00A40D4A"/>
    <w:rsid w:val="00A41FF8"/>
    <w:rsid w:val="00A42D87"/>
    <w:rsid w:val="00A43E0E"/>
    <w:rsid w:val="00A44B76"/>
    <w:rsid w:val="00A44BD3"/>
    <w:rsid w:val="00A44C7A"/>
    <w:rsid w:val="00A44E1B"/>
    <w:rsid w:val="00A4521D"/>
    <w:rsid w:val="00A459FE"/>
    <w:rsid w:val="00A46D6F"/>
    <w:rsid w:val="00A47454"/>
    <w:rsid w:val="00A51A8A"/>
    <w:rsid w:val="00A51EF9"/>
    <w:rsid w:val="00A51F0A"/>
    <w:rsid w:val="00A53440"/>
    <w:rsid w:val="00A5496E"/>
    <w:rsid w:val="00A54EF2"/>
    <w:rsid w:val="00A5597A"/>
    <w:rsid w:val="00A55D48"/>
    <w:rsid w:val="00A57BEB"/>
    <w:rsid w:val="00A613A5"/>
    <w:rsid w:val="00A61673"/>
    <w:rsid w:val="00A6225B"/>
    <w:rsid w:val="00A624DF"/>
    <w:rsid w:val="00A6322D"/>
    <w:rsid w:val="00A63316"/>
    <w:rsid w:val="00A637D3"/>
    <w:rsid w:val="00A63DEA"/>
    <w:rsid w:val="00A640AE"/>
    <w:rsid w:val="00A64926"/>
    <w:rsid w:val="00A665CF"/>
    <w:rsid w:val="00A6663F"/>
    <w:rsid w:val="00A67478"/>
    <w:rsid w:val="00A6786C"/>
    <w:rsid w:val="00A67CA7"/>
    <w:rsid w:val="00A70704"/>
    <w:rsid w:val="00A7128A"/>
    <w:rsid w:val="00A7332F"/>
    <w:rsid w:val="00A7343D"/>
    <w:rsid w:val="00A736F9"/>
    <w:rsid w:val="00A737A6"/>
    <w:rsid w:val="00A73989"/>
    <w:rsid w:val="00A73D4A"/>
    <w:rsid w:val="00A74E4A"/>
    <w:rsid w:val="00A753C0"/>
    <w:rsid w:val="00A763B2"/>
    <w:rsid w:val="00A7752F"/>
    <w:rsid w:val="00A85219"/>
    <w:rsid w:val="00A85C35"/>
    <w:rsid w:val="00A85D7C"/>
    <w:rsid w:val="00A9020F"/>
    <w:rsid w:val="00A92061"/>
    <w:rsid w:val="00A92583"/>
    <w:rsid w:val="00A9260C"/>
    <w:rsid w:val="00A92AE6"/>
    <w:rsid w:val="00A94249"/>
    <w:rsid w:val="00A94A82"/>
    <w:rsid w:val="00A94BC9"/>
    <w:rsid w:val="00A95292"/>
    <w:rsid w:val="00A959BC"/>
    <w:rsid w:val="00A95A23"/>
    <w:rsid w:val="00A95BEC"/>
    <w:rsid w:val="00A967E2"/>
    <w:rsid w:val="00A97F99"/>
    <w:rsid w:val="00AA35CB"/>
    <w:rsid w:val="00AA3A2D"/>
    <w:rsid w:val="00AA3C60"/>
    <w:rsid w:val="00AA5550"/>
    <w:rsid w:val="00AB0063"/>
    <w:rsid w:val="00AB00CC"/>
    <w:rsid w:val="00AB0B4A"/>
    <w:rsid w:val="00AB14A3"/>
    <w:rsid w:val="00AB14B4"/>
    <w:rsid w:val="00AB1720"/>
    <w:rsid w:val="00AB1ABF"/>
    <w:rsid w:val="00AB24CA"/>
    <w:rsid w:val="00AB2D71"/>
    <w:rsid w:val="00AB2FF4"/>
    <w:rsid w:val="00AB349F"/>
    <w:rsid w:val="00AB3B1B"/>
    <w:rsid w:val="00AB5F9C"/>
    <w:rsid w:val="00AB69DA"/>
    <w:rsid w:val="00AB6F8F"/>
    <w:rsid w:val="00AC1AD6"/>
    <w:rsid w:val="00AC1E25"/>
    <w:rsid w:val="00AC53FB"/>
    <w:rsid w:val="00AC586F"/>
    <w:rsid w:val="00AC6151"/>
    <w:rsid w:val="00AC68F5"/>
    <w:rsid w:val="00AC69A0"/>
    <w:rsid w:val="00AC6EB2"/>
    <w:rsid w:val="00AD09A9"/>
    <w:rsid w:val="00AD0FFF"/>
    <w:rsid w:val="00AD1DF0"/>
    <w:rsid w:val="00AD1EDB"/>
    <w:rsid w:val="00AD36F2"/>
    <w:rsid w:val="00AD3785"/>
    <w:rsid w:val="00AD3E3E"/>
    <w:rsid w:val="00AD4AC6"/>
    <w:rsid w:val="00AD5D18"/>
    <w:rsid w:val="00AD64DF"/>
    <w:rsid w:val="00AD7D69"/>
    <w:rsid w:val="00AE1025"/>
    <w:rsid w:val="00AE1C6A"/>
    <w:rsid w:val="00AE2692"/>
    <w:rsid w:val="00AE2CD6"/>
    <w:rsid w:val="00AE2F63"/>
    <w:rsid w:val="00AE3021"/>
    <w:rsid w:val="00AE38D7"/>
    <w:rsid w:val="00AE3F03"/>
    <w:rsid w:val="00AE4660"/>
    <w:rsid w:val="00AE4A8C"/>
    <w:rsid w:val="00AE5EA2"/>
    <w:rsid w:val="00AE64F0"/>
    <w:rsid w:val="00AE685A"/>
    <w:rsid w:val="00AE7CFE"/>
    <w:rsid w:val="00AF034D"/>
    <w:rsid w:val="00AF23C8"/>
    <w:rsid w:val="00AF2AE2"/>
    <w:rsid w:val="00AF2F7A"/>
    <w:rsid w:val="00AF311A"/>
    <w:rsid w:val="00AF372B"/>
    <w:rsid w:val="00AF6A1D"/>
    <w:rsid w:val="00AF70A5"/>
    <w:rsid w:val="00AF71A4"/>
    <w:rsid w:val="00AF7558"/>
    <w:rsid w:val="00B0043B"/>
    <w:rsid w:val="00B01CAA"/>
    <w:rsid w:val="00B02B89"/>
    <w:rsid w:val="00B03161"/>
    <w:rsid w:val="00B03522"/>
    <w:rsid w:val="00B0377E"/>
    <w:rsid w:val="00B03821"/>
    <w:rsid w:val="00B04F88"/>
    <w:rsid w:val="00B069C3"/>
    <w:rsid w:val="00B07BA9"/>
    <w:rsid w:val="00B10055"/>
    <w:rsid w:val="00B1141E"/>
    <w:rsid w:val="00B11593"/>
    <w:rsid w:val="00B1278B"/>
    <w:rsid w:val="00B13273"/>
    <w:rsid w:val="00B138CD"/>
    <w:rsid w:val="00B13D0F"/>
    <w:rsid w:val="00B14B66"/>
    <w:rsid w:val="00B15D1E"/>
    <w:rsid w:val="00B15F57"/>
    <w:rsid w:val="00B1626B"/>
    <w:rsid w:val="00B16462"/>
    <w:rsid w:val="00B17295"/>
    <w:rsid w:val="00B204C8"/>
    <w:rsid w:val="00B215F5"/>
    <w:rsid w:val="00B21EA4"/>
    <w:rsid w:val="00B22E12"/>
    <w:rsid w:val="00B23F25"/>
    <w:rsid w:val="00B24EF3"/>
    <w:rsid w:val="00B251DC"/>
    <w:rsid w:val="00B25356"/>
    <w:rsid w:val="00B259EF"/>
    <w:rsid w:val="00B2616C"/>
    <w:rsid w:val="00B2670E"/>
    <w:rsid w:val="00B27A54"/>
    <w:rsid w:val="00B30443"/>
    <w:rsid w:val="00B30783"/>
    <w:rsid w:val="00B30AE2"/>
    <w:rsid w:val="00B32132"/>
    <w:rsid w:val="00B324BD"/>
    <w:rsid w:val="00B33D1D"/>
    <w:rsid w:val="00B34C92"/>
    <w:rsid w:val="00B3620F"/>
    <w:rsid w:val="00B36B9F"/>
    <w:rsid w:val="00B371A0"/>
    <w:rsid w:val="00B40714"/>
    <w:rsid w:val="00B41520"/>
    <w:rsid w:val="00B41F0F"/>
    <w:rsid w:val="00B42003"/>
    <w:rsid w:val="00B42560"/>
    <w:rsid w:val="00B42D91"/>
    <w:rsid w:val="00B432FE"/>
    <w:rsid w:val="00B455AA"/>
    <w:rsid w:val="00B45778"/>
    <w:rsid w:val="00B457A1"/>
    <w:rsid w:val="00B461EF"/>
    <w:rsid w:val="00B4630F"/>
    <w:rsid w:val="00B464B1"/>
    <w:rsid w:val="00B46B50"/>
    <w:rsid w:val="00B47A4A"/>
    <w:rsid w:val="00B47B80"/>
    <w:rsid w:val="00B47B99"/>
    <w:rsid w:val="00B47DC3"/>
    <w:rsid w:val="00B47F33"/>
    <w:rsid w:val="00B506F2"/>
    <w:rsid w:val="00B510E3"/>
    <w:rsid w:val="00B51726"/>
    <w:rsid w:val="00B51A63"/>
    <w:rsid w:val="00B521AC"/>
    <w:rsid w:val="00B52702"/>
    <w:rsid w:val="00B5498D"/>
    <w:rsid w:val="00B5501D"/>
    <w:rsid w:val="00B5696B"/>
    <w:rsid w:val="00B579A2"/>
    <w:rsid w:val="00B6151E"/>
    <w:rsid w:val="00B616F3"/>
    <w:rsid w:val="00B626B7"/>
    <w:rsid w:val="00B63B62"/>
    <w:rsid w:val="00B64311"/>
    <w:rsid w:val="00B647AD"/>
    <w:rsid w:val="00B64962"/>
    <w:rsid w:val="00B65C58"/>
    <w:rsid w:val="00B66AD9"/>
    <w:rsid w:val="00B676EC"/>
    <w:rsid w:val="00B7016C"/>
    <w:rsid w:val="00B70218"/>
    <w:rsid w:val="00B7039B"/>
    <w:rsid w:val="00B7095A"/>
    <w:rsid w:val="00B716C6"/>
    <w:rsid w:val="00B7467E"/>
    <w:rsid w:val="00B74D1E"/>
    <w:rsid w:val="00B75C7E"/>
    <w:rsid w:val="00B75FCA"/>
    <w:rsid w:val="00B764FE"/>
    <w:rsid w:val="00B76A18"/>
    <w:rsid w:val="00B77871"/>
    <w:rsid w:val="00B77F80"/>
    <w:rsid w:val="00B81E02"/>
    <w:rsid w:val="00B82A14"/>
    <w:rsid w:val="00B83520"/>
    <w:rsid w:val="00B836C9"/>
    <w:rsid w:val="00B84C6C"/>
    <w:rsid w:val="00B855B5"/>
    <w:rsid w:val="00B90798"/>
    <w:rsid w:val="00B91614"/>
    <w:rsid w:val="00B92687"/>
    <w:rsid w:val="00B92A9D"/>
    <w:rsid w:val="00B92BE6"/>
    <w:rsid w:val="00B94036"/>
    <w:rsid w:val="00B94248"/>
    <w:rsid w:val="00B942A1"/>
    <w:rsid w:val="00B94B4F"/>
    <w:rsid w:val="00B94DAB"/>
    <w:rsid w:val="00B9663F"/>
    <w:rsid w:val="00B966DE"/>
    <w:rsid w:val="00B976F6"/>
    <w:rsid w:val="00B97EE7"/>
    <w:rsid w:val="00BA1C13"/>
    <w:rsid w:val="00BA2071"/>
    <w:rsid w:val="00BA3220"/>
    <w:rsid w:val="00BA3428"/>
    <w:rsid w:val="00BA3E9B"/>
    <w:rsid w:val="00BA490D"/>
    <w:rsid w:val="00BA5842"/>
    <w:rsid w:val="00BA5F41"/>
    <w:rsid w:val="00BA6382"/>
    <w:rsid w:val="00BA6C72"/>
    <w:rsid w:val="00BA7385"/>
    <w:rsid w:val="00BB009E"/>
    <w:rsid w:val="00BB0489"/>
    <w:rsid w:val="00BB0927"/>
    <w:rsid w:val="00BB0B1E"/>
    <w:rsid w:val="00BB1556"/>
    <w:rsid w:val="00BB17BC"/>
    <w:rsid w:val="00BB187C"/>
    <w:rsid w:val="00BB296B"/>
    <w:rsid w:val="00BB29E9"/>
    <w:rsid w:val="00BB2A35"/>
    <w:rsid w:val="00BB3222"/>
    <w:rsid w:val="00BB35D8"/>
    <w:rsid w:val="00BB3622"/>
    <w:rsid w:val="00BB5CBF"/>
    <w:rsid w:val="00BB5E24"/>
    <w:rsid w:val="00BB682C"/>
    <w:rsid w:val="00BB687B"/>
    <w:rsid w:val="00BB7CA9"/>
    <w:rsid w:val="00BB7FCC"/>
    <w:rsid w:val="00BC0E8C"/>
    <w:rsid w:val="00BC213B"/>
    <w:rsid w:val="00BC236B"/>
    <w:rsid w:val="00BC2BB4"/>
    <w:rsid w:val="00BC3312"/>
    <w:rsid w:val="00BC3DA9"/>
    <w:rsid w:val="00BC5B4C"/>
    <w:rsid w:val="00BC5DA3"/>
    <w:rsid w:val="00BC65D9"/>
    <w:rsid w:val="00BC7C52"/>
    <w:rsid w:val="00BD0257"/>
    <w:rsid w:val="00BD0CF6"/>
    <w:rsid w:val="00BD1023"/>
    <w:rsid w:val="00BD1471"/>
    <w:rsid w:val="00BD14C5"/>
    <w:rsid w:val="00BD196A"/>
    <w:rsid w:val="00BD1C54"/>
    <w:rsid w:val="00BD2081"/>
    <w:rsid w:val="00BD2311"/>
    <w:rsid w:val="00BD29C7"/>
    <w:rsid w:val="00BD2CF5"/>
    <w:rsid w:val="00BD4F2D"/>
    <w:rsid w:val="00BD6262"/>
    <w:rsid w:val="00BD7841"/>
    <w:rsid w:val="00BD7DC7"/>
    <w:rsid w:val="00BD7FD4"/>
    <w:rsid w:val="00BE02D0"/>
    <w:rsid w:val="00BE04AA"/>
    <w:rsid w:val="00BE1B50"/>
    <w:rsid w:val="00BE1BE6"/>
    <w:rsid w:val="00BE4C48"/>
    <w:rsid w:val="00BE4F86"/>
    <w:rsid w:val="00BE5D41"/>
    <w:rsid w:val="00BE61C1"/>
    <w:rsid w:val="00BE64AF"/>
    <w:rsid w:val="00BE6717"/>
    <w:rsid w:val="00BF0381"/>
    <w:rsid w:val="00BF0609"/>
    <w:rsid w:val="00BF3DD2"/>
    <w:rsid w:val="00BF4EA1"/>
    <w:rsid w:val="00BF5F2A"/>
    <w:rsid w:val="00BF699D"/>
    <w:rsid w:val="00BF6E7B"/>
    <w:rsid w:val="00C00228"/>
    <w:rsid w:val="00C01021"/>
    <w:rsid w:val="00C0141F"/>
    <w:rsid w:val="00C0145E"/>
    <w:rsid w:val="00C02206"/>
    <w:rsid w:val="00C02C76"/>
    <w:rsid w:val="00C03C50"/>
    <w:rsid w:val="00C03D28"/>
    <w:rsid w:val="00C0415B"/>
    <w:rsid w:val="00C048AF"/>
    <w:rsid w:val="00C04AAA"/>
    <w:rsid w:val="00C056D2"/>
    <w:rsid w:val="00C0747E"/>
    <w:rsid w:val="00C077E0"/>
    <w:rsid w:val="00C07DE6"/>
    <w:rsid w:val="00C10A48"/>
    <w:rsid w:val="00C10E47"/>
    <w:rsid w:val="00C12F55"/>
    <w:rsid w:val="00C13250"/>
    <w:rsid w:val="00C133DF"/>
    <w:rsid w:val="00C13D90"/>
    <w:rsid w:val="00C141C2"/>
    <w:rsid w:val="00C154B5"/>
    <w:rsid w:val="00C17872"/>
    <w:rsid w:val="00C205E9"/>
    <w:rsid w:val="00C20750"/>
    <w:rsid w:val="00C20C0F"/>
    <w:rsid w:val="00C212FC"/>
    <w:rsid w:val="00C21D35"/>
    <w:rsid w:val="00C21FC2"/>
    <w:rsid w:val="00C2209D"/>
    <w:rsid w:val="00C222A2"/>
    <w:rsid w:val="00C22537"/>
    <w:rsid w:val="00C22939"/>
    <w:rsid w:val="00C23991"/>
    <w:rsid w:val="00C23F48"/>
    <w:rsid w:val="00C24709"/>
    <w:rsid w:val="00C262BD"/>
    <w:rsid w:val="00C310C2"/>
    <w:rsid w:val="00C31C3B"/>
    <w:rsid w:val="00C33D39"/>
    <w:rsid w:val="00C352B6"/>
    <w:rsid w:val="00C36525"/>
    <w:rsid w:val="00C40EB3"/>
    <w:rsid w:val="00C40EC1"/>
    <w:rsid w:val="00C41BD9"/>
    <w:rsid w:val="00C43107"/>
    <w:rsid w:val="00C434FD"/>
    <w:rsid w:val="00C43560"/>
    <w:rsid w:val="00C453B7"/>
    <w:rsid w:val="00C456FC"/>
    <w:rsid w:val="00C45F10"/>
    <w:rsid w:val="00C47AC7"/>
    <w:rsid w:val="00C47B3A"/>
    <w:rsid w:val="00C5192E"/>
    <w:rsid w:val="00C52DE6"/>
    <w:rsid w:val="00C533BA"/>
    <w:rsid w:val="00C53BA5"/>
    <w:rsid w:val="00C542BC"/>
    <w:rsid w:val="00C5475E"/>
    <w:rsid w:val="00C54A12"/>
    <w:rsid w:val="00C55EE6"/>
    <w:rsid w:val="00C57BC3"/>
    <w:rsid w:val="00C57F90"/>
    <w:rsid w:val="00C6016B"/>
    <w:rsid w:val="00C611D2"/>
    <w:rsid w:val="00C63200"/>
    <w:rsid w:val="00C634A7"/>
    <w:rsid w:val="00C638D7"/>
    <w:rsid w:val="00C638DF"/>
    <w:rsid w:val="00C64535"/>
    <w:rsid w:val="00C64720"/>
    <w:rsid w:val="00C6517F"/>
    <w:rsid w:val="00C6752E"/>
    <w:rsid w:val="00C67AF5"/>
    <w:rsid w:val="00C67BA6"/>
    <w:rsid w:val="00C703DE"/>
    <w:rsid w:val="00C70DA3"/>
    <w:rsid w:val="00C71920"/>
    <w:rsid w:val="00C72A63"/>
    <w:rsid w:val="00C73C4E"/>
    <w:rsid w:val="00C741A4"/>
    <w:rsid w:val="00C75A74"/>
    <w:rsid w:val="00C76F49"/>
    <w:rsid w:val="00C771D6"/>
    <w:rsid w:val="00C80AE4"/>
    <w:rsid w:val="00C80C03"/>
    <w:rsid w:val="00C810F3"/>
    <w:rsid w:val="00C81E67"/>
    <w:rsid w:val="00C8224D"/>
    <w:rsid w:val="00C8339F"/>
    <w:rsid w:val="00C83B2D"/>
    <w:rsid w:val="00C84CDF"/>
    <w:rsid w:val="00C857F1"/>
    <w:rsid w:val="00C871C4"/>
    <w:rsid w:val="00C87887"/>
    <w:rsid w:val="00C87F9C"/>
    <w:rsid w:val="00C90E14"/>
    <w:rsid w:val="00C91B26"/>
    <w:rsid w:val="00C92B7D"/>
    <w:rsid w:val="00C943A0"/>
    <w:rsid w:val="00C948AC"/>
    <w:rsid w:val="00C95D96"/>
    <w:rsid w:val="00C96FC2"/>
    <w:rsid w:val="00C9738A"/>
    <w:rsid w:val="00CA05F1"/>
    <w:rsid w:val="00CA1024"/>
    <w:rsid w:val="00CA1130"/>
    <w:rsid w:val="00CA14DF"/>
    <w:rsid w:val="00CA17AC"/>
    <w:rsid w:val="00CA201C"/>
    <w:rsid w:val="00CA221A"/>
    <w:rsid w:val="00CA235C"/>
    <w:rsid w:val="00CA386E"/>
    <w:rsid w:val="00CA415F"/>
    <w:rsid w:val="00CA4412"/>
    <w:rsid w:val="00CA5EA7"/>
    <w:rsid w:val="00CB026C"/>
    <w:rsid w:val="00CB0A6D"/>
    <w:rsid w:val="00CB2753"/>
    <w:rsid w:val="00CB2C14"/>
    <w:rsid w:val="00CB3506"/>
    <w:rsid w:val="00CB3ADC"/>
    <w:rsid w:val="00CB3C26"/>
    <w:rsid w:val="00CB4416"/>
    <w:rsid w:val="00CB5069"/>
    <w:rsid w:val="00CB5A49"/>
    <w:rsid w:val="00CB5C15"/>
    <w:rsid w:val="00CB678B"/>
    <w:rsid w:val="00CB7564"/>
    <w:rsid w:val="00CB79D8"/>
    <w:rsid w:val="00CB7DBE"/>
    <w:rsid w:val="00CC1228"/>
    <w:rsid w:val="00CC12F4"/>
    <w:rsid w:val="00CC1A21"/>
    <w:rsid w:val="00CC4106"/>
    <w:rsid w:val="00CC416A"/>
    <w:rsid w:val="00CC59AE"/>
    <w:rsid w:val="00CC66DE"/>
    <w:rsid w:val="00CC7A7A"/>
    <w:rsid w:val="00CC7C0C"/>
    <w:rsid w:val="00CD130F"/>
    <w:rsid w:val="00CD50B5"/>
    <w:rsid w:val="00CD75E3"/>
    <w:rsid w:val="00CE08D4"/>
    <w:rsid w:val="00CE2627"/>
    <w:rsid w:val="00CE2EB2"/>
    <w:rsid w:val="00CE4710"/>
    <w:rsid w:val="00CE4F69"/>
    <w:rsid w:val="00CE525D"/>
    <w:rsid w:val="00CE5C99"/>
    <w:rsid w:val="00CE602B"/>
    <w:rsid w:val="00CE62AD"/>
    <w:rsid w:val="00CE6BE0"/>
    <w:rsid w:val="00CE793E"/>
    <w:rsid w:val="00CF1E8B"/>
    <w:rsid w:val="00CF23EE"/>
    <w:rsid w:val="00CF2C58"/>
    <w:rsid w:val="00CF3420"/>
    <w:rsid w:val="00CF39B0"/>
    <w:rsid w:val="00CF43DF"/>
    <w:rsid w:val="00CF7203"/>
    <w:rsid w:val="00D034F2"/>
    <w:rsid w:val="00D038EC"/>
    <w:rsid w:val="00D05EC8"/>
    <w:rsid w:val="00D06A53"/>
    <w:rsid w:val="00D07DE4"/>
    <w:rsid w:val="00D07FD9"/>
    <w:rsid w:val="00D11357"/>
    <w:rsid w:val="00D126F7"/>
    <w:rsid w:val="00D129F5"/>
    <w:rsid w:val="00D12BAC"/>
    <w:rsid w:val="00D12ED9"/>
    <w:rsid w:val="00D12FD6"/>
    <w:rsid w:val="00D13F36"/>
    <w:rsid w:val="00D141DD"/>
    <w:rsid w:val="00D1494A"/>
    <w:rsid w:val="00D15D30"/>
    <w:rsid w:val="00D16360"/>
    <w:rsid w:val="00D20E31"/>
    <w:rsid w:val="00D21887"/>
    <w:rsid w:val="00D22647"/>
    <w:rsid w:val="00D22BED"/>
    <w:rsid w:val="00D22DB4"/>
    <w:rsid w:val="00D235A5"/>
    <w:rsid w:val="00D23DF2"/>
    <w:rsid w:val="00D25FE8"/>
    <w:rsid w:val="00D262D3"/>
    <w:rsid w:val="00D263C4"/>
    <w:rsid w:val="00D266DE"/>
    <w:rsid w:val="00D26DF2"/>
    <w:rsid w:val="00D27EED"/>
    <w:rsid w:val="00D30AAB"/>
    <w:rsid w:val="00D31689"/>
    <w:rsid w:val="00D33BD5"/>
    <w:rsid w:val="00D33F27"/>
    <w:rsid w:val="00D34AA2"/>
    <w:rsid w:val="00D355E8"/>
    <w:rsid w:val="00D36CB2"/>
    <w:rsid w:val="00D37520"/>
    <w:rsid w:val="00D41B33"/>
    <w:rsid w:val="00D421F3"/>
    <w:rsid w:val="00D42373"/>
    <w:rsid w:val="00D43DD6"/>
    <w:rsid w:val="00D43FFE"/>
    <w:rsid w:val="00D4446C"/>
    <w:rsid w:val="00D4607F"/>
    <w:rsid w:val="00D503EF"/>
    <w:rsid w:val="00D51C2C"/>
    <w:rsid w:val="00D5275B"/>
    <w:rsid w:val="00D540CF"/>
    <w:rsid w:val="00D552D3"/>
    <w:rsid w:val="00D55611"/>
    <w:rsid w:val="00D55A36"/>
    <w:rsid w:val="00D55FE9"/>
    <w:rsid w:val="00D561BE"/>
    <w:rsid w:val="00D566A8"/>
    <w:rsid w:val="00D5689A"/>
    <w:rsid w:val="00D57072"/>
    <w:rsid w:val="00D57E6F"/>
    <w:rsid w:val="00D60FB3"/>
    <w:rsid w:val="00D61249"/>
    <w:rsid w:val="00D614F1"/>
    <w:rsid w:val="00D61AE5"/>
    <w:rsid w:val="00D61AFC"/>
    <w:rsid w:val="00D61EAD"/>
    <w:rsid w:val="00D621A4"/>
    <w:rsid w:val="00D62C1D"/>
    <w:rsid w:val="00D6343B"/>
    <w:rsid w:val="00D64636"/>
    <w:rsid w:val="00D64DAA"/>
    <w:rsid w:val="00D65F6B"/>
    <w:rsid w:val="00D668E4"/>
    <w:rsid w:val="00D67466"/>
    <w:rsid w:val="00D67FA8"/>
    <w:rsid w:val="00D7047B"/>
    <w:rsid w:val="00D70BA9"/>
    <w:rsid w:val="00D70CDD"/>
    <w:rsid w:val="00D70F76"/>
    <w:rsid w:val="00D71362"/>
    <w:rsid w:val="00D71F51"/>
    <w:rsid w:val="00D729A9"/>
    <w:rsid w:val="00D741F4"/>
    <w:rsid w:val="00D74573"/>
    <w:rsid w:val="00D74FEC"/>
    <w:rsid w:val="00D753F7"/>
    <w:rsid w:val="00D75505"/>
    <w:rsid w:val="00D758C1"/>
    <w:rsid w:val="00D76695"/>
    <w:rsid w:val="00D76DC8"/>
    <w:rsid w:val="00D770B6"/>
    <w:rsid w:val="00D77505"/>
    <w:rsid w:val="00D77DAB"/>
    <w:rsid w:val="00D80829"/>
    <w:rsid w:val="00D80B10"/>
    <w:rsid w:val="00D8228F"/>
    <w:rsid w:val="00D83C7D"/>
    <w:rsid w:val="00D83CB1"/>
    <w:rsid w:val="00D84D75"/>
    <w:rsid w:val="00D85FA8"/>
    <w:rsid w:val="00D862DA"/>
    <w:rsid w:val="00D8640C"/>
    <w:rsid w:val="00D86456"/>
    <w:rsid w:val="00D870BD"/>
    <w:rsid w:val="00D87CE8"/>
    <w:rsid w:val="00D87EEF"/>
    <w:rsid w:val="00D90752"/>
    <w:rsid w:val="00D90DC5"/>
    <w:rsid w:val="00D90ED8"/>
    <w:rsid w:val="00D9224D"/>
    <w:rsid w:val="00D92913"/>
    <w:rsid w:val="00D9451B"/>
    <w:rsid w:val="00D94F29"/>
    <w:rsid w:val="00D954C6"/>
    <w:rsid w:val="00D96255"/>
    <w:rsid w:val="00D963F2"/>
    <w:rsid w:val="00D96742"/>
    <w:rsid w:val="00D96E67"/>
    <w:rsid w:val="00D97A04"/>
    <w:rsid w:val="00DA078D"/>
    <w:rsid w:val="00DA2BA1"/>
    <w:rsid w:val="00DA2D66"/>
    <w:rsid w:val="00DA3D7B"/>
    <w:rsid w:val="00DA6721"/>
    <w:rsid w:val="00DA7189"/>
    <w:rsid w:val="00DA72EA"/>
    <w:rsid w:val="00DA7370"/>
    <w:rsid w:val="00DA7D96"/>
    <w:rsid w:val="00DA7F7D"/>
    <w:rsid w:val="00DB030F"/>
    <w:rsid w:val="00DB1190"/>
    <w:rsid w:val="00DB3B94"/>
    <w:rsid w:val="00DB4594"/>
    <w:rsid w:val="00DB4AA3"/>
    <w:rsid w:val="00DB513F"/>
    <w:rsid w:val="00DB68FF"/>
    <w:rsid w:val="00DB7230"/>
    <w:rsid w:val="00DC256A"/>
    <w:rsid w:val="00DC32BA"/>
    <w:rsid w:val="00DC36F8"/>
    <w:rsid w:val="00DC3846"/>
    <w:rsid w:val="00DC44F2"/>
    <w:rsid w:val="00DC48AD"/>
    <w:rsid w:val="00DC5FD8"/>
    <w:rsid w:val="00DC6626"/>
    <w:rsid w:val="00DC6B89"/>
    <w:rsid w:val="00DD0A6F"/>
    <w:rsid w:val="00DD1A04"/>
    <w:rsid w:val="00DD1B2D"/>
    <w:rsid w:val="00DD290B"/>
    <w:rsid w:val="00DD3893"/>
    <w:rsid w:val="00DD55DC"/>
    <w:rsid w:val="00DD6537"/>
    <w:rsid w:val="00DD6667"/>
    <w:rsid w:val="00DD74A2"/>
    <w:rsid w:val="00DE0E46"/>
    <w:rsid w:val="00DE1798"/>
    <w:rsid w:val="00DE189D"/>
    <w:rsid w:val="00DE2134"/>
    <w:rsid w:val="00DE24D5"/>
    <w:rsid w:val="00DE383B"/>
    <w:rsid w:val="00DE3B32"/>
    <w:rsid w:val="00DE49BE"/>
    <w:rsid w:val="00DE4A99"/>
    <w:rsid w:val="00DE4D1B"/>
    <w:rsid w:val="00DE583D"/>
    <w:rsid w:val="00DE5E05"/>
    <w:rsid w:val="00DE6576"/>
    <w:rsid w:val="00DE6AC1"/>
    <w:rsid w:val="00DE7C70"/>
    <w:rsid w:val="00DE7E38"/>
    <w:rsid w:val="00DF0838"/>
    <w:rsid w:val="00DF10AA"/>
    <w:rsid w:val="00DF17DB"/>
    <w:rsid w:val="00DF2410"/>
    <w:rsid w:val="00DF3A78"/>
    <w:rsid w:val="00DF3AC8"/>
    <w:rsid w:val="00DF4614"/>
    <w:rsid w:val="00DF5AD5"/>
    <w:rsid w:val="00DF621C"/>
    <w:rsid w:val="00DF6AD7"/>
    <w:rsid w:val="00DF6D10"/>
    <w:rsid w:val="00DF7B25"/>
    <w:rsid w:val="00DF7FCD"/>
    <w:rsid w:val="00E00B67"/>
    <w:rsid w:val="00E01D68"/>
    <w:rsid w:val="00E02031"/>
    <w:rsid w:val="00E03407"/>
    <w:rsid w:val="00E03F62"/>
    <w:rsid w:val="00E0535C"/>
    <w:rsid w:val="00E0618C"/>
    <w:rsid w:val="00E06397"/>
    <w:rsid w:val="00E06702"/>
    <w:rsid w:val="00E06F8E"/>
    <w:rsid w:val="00E0798D"/>
    <w:rsid w:val="00E10566"/>
    <w:rsid w:val="00E109A5"/>
    <w:rsid w:val="00E10BBE"/>
    <w:rsid w:val="00E10C37"/>
    <w:rsid w:val="00E11234"/>
    <w:rsid w:val="00E12C72"/>
    <w:rsid w:val="00E135A1"/>
    <w:rsid w:val="00E1412C"/>
    <w:rsid w:val="00E14307"/>
    <w:rsid w:val="00E1496E"/>
    <w:rsid w:val="00E16847"/>
    <w:rsid w:val="00E16E77"/>
    <w:rsid w:val="00E16EF1"/>
    <w:rsid w:val="00E177A0"/>
    <w:rsid w:val="00E17D55"/>
    <w:rsid w:val="00E17F63"/>
    <w:rsid w:val="00E207DA"/>
    <w:rsid w:val="00E20D92"/>
    <w:rsid w:val="00E23798"/>
    <w:rsid w:val="00E24714"/>
    <w:rsid w:val="00E24B1D"/>
    <w:rsid w:val="00E24B80"/>
    <w:rsid w:val="00E24C27"/>
    <w:rsid w:val="00E25D33"/>
    <w:rsid w:val="00E25D81"/>
    <w:rsid w:val="00E26063"/>
    <w:rsid w:val="00E2635C"/>
    <w:rsid w:val="00E26940"/>
    <w:rsid w:val="00E27873"/>
    <w:rsid w:val="00E303ED"/>
    <w:rsid w:val="00E30D89"/>
    <w:rsid w:val="00E31489"/>
    <w:rsid w:val="00E32889"/>
    <w:rsid w:val="00E33DFE"/>
    <w:rsid w:val="00E34DC3"/>
    <w:rsid w:val="00E35A1C"/>
    <w:rsid w:val="00E36375"/>
    <w:rsid w:val="00E37A71"/>
    <w:rsid w:val="00E37D68"/>
    <w:rsid w:val="00E41429"/>
    <w:rsid w:val="00E42D3D"/>
    <w:rsid w:val="00E42F27"/>
    <w:rsid w:val="00E4307A"/>
    <w:rsid w:val="00E431A9"/>
    <w:rsid w:val="00E43C06"/>
    <w:rsid w:val="00E449B1"/>
    <w:rsid w:val="00E44C7E"/>
    <w:rsid w:val="00E44DC2"/>
    <w:rsid w:val="00E460EC"/>
    <w:rsid w:val="00E465DF"/>
    <w:rsid w:val="00E467FB"/>
    <w:rsid w:val="00E47B1E"/>
    <w:rsid w:val="00E47B31"/>
    <w:rsid w:val="00E501F7"/>
    <w:rsid w:val="00E5058A"/>
    <w:rsid w:val="00E5082D"/>
    <w:rsid w:val="00E51D88"/>
    <w:rsid w:val="00E53340"/>
    <w:rsid w:val="00E53D8D"/>
    <w:rsid w:val="00E5493D"/>
    <w:rsid w:val="00E54D63"/>
    <w:rsid w:val="00E55B3E"/>
    <w:rsid w:val="00E55B59"/>
    <w:rsid w:val="00E5723B"/>
    <w:rsid w:val="00E574A9"/>
    <w:rsid w:val="00E578F4"/>
    <w:rsid w:val="00E603F0"/>
    <w:rsid w:val="00E61355"/>
    <w:rsid w:val="00E613BC"/>
    <w:rsid w:val="00E619D2"/>
    <w:rsid w:val="00E61C83"/>
    <w:rsid w:val="00E61F1E"/>
    <w:rsid w:val="00E62531"/>
    <w:rsid w:val="00E63B9C"/>
    <w:rsid w:val="00E63E9E"/>
    <w:rsid w:val="00E64818"/>
    <w:rsid w:val="00E64A1F"/>
    <w:rsid w:val="00E66861"/>
    <w:rsid w:val="00E66E21"/>
    <w:rsid w:val="00E67063"/>
    <w:rsid w:val="00E70AC4"/>
    <w:rsid w:val="00E70F38"/>
    <w:rsid w:val="00E710FC"/>
    <w:rsid w:val="00E71462"/>
    <w:rsid w:val="00E71915"/>
    <w:rsid w:val="00E71B11"/>
    <w:rsid w:val="00E71D37"/>
    <w:rsid w:val="00E72358"/>
    <w:rsid w:val="00E7279E"/>
    <w:rsid w:val="00E737C9"/>
    <w:rsid w:val="00E75272"/>
    <w:rsid w:val="00E75A43"/>
    <w:rsid w:val="00E7696A"/>
    <w:rsid w:val="00E775A7"/>
    <w:rsid w:val="00E779AC"/>
    <w:rsid w:val="00E77E14"/>
    <w:rsid w:val="00E80916"/>
    <w:rsid w:val="00E81FD6"/>
    <w:rsid w:val="00E840DF"/>
    <w:rsid w:val="00E84146"/>
    <w:rsid w:val="00E84935"/>
    <w:rsid w:val="00E8560F"/>
    <w:rsid w:val="00E86424"/>
    <w:rsid w:val="00E8780A"/>
    <w:rsid w:val="00E879B7"/>
    <w:rsid w:val="00E87E1C"/>
    <w:rsid w:val="00E90FCA"/>
    <w:rsid w:val="00E91E62"/>
    <w:rsid w:val="00E94831"/>
    <w:rsid w:val="00E9515D"/>
    <w:rsid w:val="00E957FC"/>
    <w:rsid w:val="00E9784B"/>
    <w:rsid w:val="00EA018D"/>
    <w:rsid w:val="00EA0289"/>
    <w:rsid w:val="00EA142C"/>
    <w:rsid w:val="00EA4FC0"/>
    <w:rsid w:val="00EA5CE2"/>
    <w:rsid w:val="00EA6D1B"/>
    <w:rsid w:val="00EA77D6"/>
    <w:rsid w:val="00EB11D1"/>
    <w:rsid w:val="00EB181B"/>
    <w:rsid w:val="00EB1CA4"/>
    <w:rsid w:val="00EB2CA4"/>
    <w:rsid w:val="00EB2DEA"/>
    <w:rsid w:val="00EB3A24"/>
    <w:rsid w:val="00EB5648"/>
    <w:rsid w:val="00EB56B1"/>
    <w:rsid w:val="00EB6250"/>
    <w:rsid w:val="00EB7D36"/>
    <w:rsid w:val="00EC0414"/>
    <w:rsid w:val="00EC07A7"/>
    <w:rsid w:val="00EC0F57"/>
    <w:rsid w:val="00EC13E2"/>
    <w:rsid w:val="00EC191B"/>
    <w:rsid w:val="00EC341C"/>
    <w:rsid w:val="00EC3423"/>
    <w:rsid w:val="00EC3C2F"/>
    <w:rsid w:val="00EC56B7"/>
    <w:rsid w:val="00EC7EBD"/>
    <w:rsid w:val="00ED10CC"/>
    <w:rsid w:val="00ED15FB"/>
    <w:rsid w:val="00ED1657"/>
    <w:rsid w:val="00ED3BBC"/>
    <w:rsid w:val="00ED3F3D"/>
    <w:rsid w:val="00ED4D6E"/>
    <w:rsid w:val="00ED4EF3"/>
    <w:rsid w:val="00ED5637"/>
    <w:rsid w:val="00ED57CE"/>
    <w:rsid w:val="00ED59F6"/>
    <w:rsid w:val="00ED6618"/>
    <w:rsid w:val="00ED74B9"/>
    <w:rsid w:val="00EE0D61"/>
    <w:rsid w:val="00EE227A"/>
    <w:rsid w:val="00EE2834"/>
    <w:rsid w:val="00EE324C"/>
    <w:rsid w:val="00EE35C5"/>
    <w:rsid w:val="00EE5777"/>
    <w:rsid w:val="00EE6472"/>
    <w:rsid w:val="00EE676C"/>
    <w:rsid w:val="00EE71C9"/>
    <w:rsid w:val="00EE7F2E"/>
    <w:rsid w:val="00EF0A53"/>
    <w:rsid w:val="00EF2CFF"/>
    <w:rsid w:val="00EF32BC"/>
    <w:rsid w:val="00EF352D"/>
    <w:rsid w:val="00EF3BD5"/>
    <w:rsid w:val="00EF471F"/>
    <w:rsid w:val="00EF4AEE"/>
    <w:rsid w:val="00EF4BB0"/>
    <w:rsid w:val="00EF564F"/>
    <w:rsid w:val="00EF5C23"/>
    <w:rsid w:val="00EF6E41"/>
    <w:rsid w:val="00EF6EFA"/>
    <w:rsid w:val="00EF7073"/>
    <w:rsid w:val="00F00F2D"/>
    <w:rsid w:val="00F01861"/>
    <w:rsid w:val="00F01BCC"/>
    <w:rsid w:val="00F02438"/>
    <w:rsid w:val="00F0248A"/>
    <w:rsid w:val="00F025BF"/>
    <w:rsid w:val="00F03F3B"/>
    <w:rsid w:val="00F03F5D"/>
    <w:rsid w:val="00F04062"/>
    <w:rsid w:val="00F04F9E"/>
    <w:rsid w:val="00F06909"/>
    <w:rsid w:val="00F07468"/>
    <w:rsid w:val="00F10203"/>
    <w:rsid w:val="00F11DDC"/>
    <w:rsid w:val="00F1302B"/>
    <w:rsid w:val="00F13F76"/>
    <w:rsid w:val="00F1443D"/>
    <w:rsid w:val="00F165FC"/>
    <w:rsid w:val="00F168FC"/>
    <w:rsid w:val="00F16925"/>
    <w:rsid w:val="00F216E1"/>
    <w:rsid w:val="00F2176B"/>
    <w:rsid w:val="00F22D82"/>
    <w:rsid w:val="00F23A8E"/>
    <w:rsid w:val="00F23DC9"/>
    <w:rsid w:val="00F25E08"/>
    <w:rsid w:val="00F26D40"/>
    <w:rsid w:val="00F274D6"/>
    <w:rsid w:val="00F27586"/>
    <w:rsid w:val="00F313B7"/>
    <w:rsid w:val="00F340B6"/>
    <w:rsid w:val="00F35C4A"/>
    <w:rsid w:val="00F361B7"/>
    <w:rsid w:val="00F363BF"/>
    <w:rsid w:val="00F37297"/>
    <w:rsid w:val="00F378F3"/>
    <w:rsid w:val="00F3792E"/>
    <w:rsid w:val="00F4008B"/>
    <w:rsid w:val="00F40BAE"/>
    <w:rsid w:val="00F4446D"/>
    <w:rsid w:val="00F4604D"/>
    <w:rsid w:val="00F46BAE"/>
    <w:rsid w:val="00F4701B"/>
    <w:rsid w:val="00F5049D"/>
    <w:rsid w:val="00F50962"/>
    <w:rsid w:val="00F52865"/>
    <w:rsid w:val="00F52F93"/>
    <w:rsid w:val="00F531ED"/>
    <w:rsid w:val="00F53497"/>
    <w:rsid w:val="00F54608"/>
    <w:rsid w:val="00F54B8A"/>
    <w:rsid w:val="00F54C43"/>
    <w:rsid w:val="00F55182"/>
    <w:rsid w:val="00F552F2"/>
    <w:rsid w:val="00F55E52"/>
    <w:rsid w:val="00F56085"/>
    <w:rsid w:val="00F579D3"/>
    <w:rsid w:val="00F57EF0"/>
    <w:rsid w:val="00F60001"/>
    <w:rsid w:val="00F60327"/>
    <w:rsid w:val="00F60410"/>
    <w:rsid w:val="00F611BC"/>
    <w:rsid w:val="00F625DC"/>
    <w:rsid w:val="00F626CF"/>
    <w:rsid w:val="00F627E2"/>
    <w:rsid w:val="00F628C2"/>
    <w:rsid w:val="00F62D74"/>
    <w:rsid w:val="00F63561"/>
    <w:rsid w:val="00F63E17"/>
    <w:rsid w:val="00F658EA"/>
    <w:rsid w:val="00F66DFC"/>
    <w:rsid w:val="00F67406"/>
    <w:rsid w:val="00F70613"/>
    <w:rsid w:val="00F71520"/>
    <w:rsid w:val="00F7380F"/>
    <w:rsid w:val="00F75234"/>
    <w:rsid w:val="00F7562A"/>
    <w:rsid w:val="00F7590F"/>
    <w:rsid w:val="00F759E3"/>
    <w:rsid w:val="00F75F87"/>
    <w:rsid w:val="00F75F89"/>
    <w:rsid w:val="00F75FE2"/>
    <w:rsid w:val="00F762D2"/>
    <w:rsid w:val="00F772CC"/>
    <w:rsid w:val="00F77588"/>
    <w:rsid w:val="00F77A44"/>
    <w:rsid w:val="00F8026C"/>
    <w:rsid w:val="00F812FC"/>
    <w:rsid w:val="00F82B19"/>
    <w:rsid w:val="00F836C0"/>
    <w:rsid w:val="00F83FE8"/>
    <w:rsid w:val="00F84422"/>
    <w:rsid w:val="00F8463E"/>
    <w:rsid w:val="00F8569E"/>
    <w:rsid w:val="00F85A14"/>
    <w:rsid w:val="00F8686A"/>
    <w:rsid w:val="00F87B53"/>
    <w:rsid w:val="00F90EB0"/>
    <w:rsid w:val="00F90F7C"/>
    <w:rsid w:val="00F913C2"/>
    <w:rsid w:val="00F913C6"/>
    <w:rsid w:val="00F91CA5"/>
    <w:rsid w:val="00F943B1"/>
    <w:rsid w:val="00F94864"/>
    <w:rsid w:val="00F95BDD"/>
    <w:rsid w:val="00F96410"/>
    <w:rsid w:val="00F9756E"/>
    <w:rsid w:val="00F97EF1"/>
    <w:rsid w:val="00FA02EE"/>
    <w:rsid w:val="00FA136C"/>
    <w:rsid w:val="00FA1407"/>
    <w:rsid w:val="00FA1AEC"/>
    <w:rsid w:val="00FA1D8C"/>
    <w:rsid w:val="00FA33A6"/>
    <w:rsid w:val="00FA47AE"/>
    <w:rsid w:val="00FA4A4B"/>
    <w:rsid w:val="00FA5222"/>
    <w:rsid w:val="00FA7B80"/>
    <w:rsid w:val="00FB01F3"/>
    <w:rsid w:val="00FB091D"/>
    <w:rsid w:val="00FB0B18"/>
    <w:rsid w:val="00FB2215"/>
    <w:rsid w:val="00FB2ACA"/>
    <w:rsid w:val="00FB3200"/>
    <w:rsid w:val="00FB3760"/>
    <w:rsid w:val="00FB4358"/>
    <w:rsid w:val="00FB4C06"/>
    <w:rsid w:val="00FB5C78"/>
    <w:rsid w:val="00FB5EDD"/>
    <w:rsid w:val="00FB673E"/>
    <w:rsid w:val="00FB6740"/>
    <w:rsid w:val="00FB72BE"/>
    <w:rsid w:val="00FB753B"/>
    <w:rsid w:val="00FC0391"/>
    <w:rsid w:val="00FC1331"/>
    <w:rsid w:val="00FC1787"/>
    <w:rsid w:val="00FC2CF6"/>
    <w:rsid w:val="00FC3D57"/>
    <w:rsid w:val="00FC3EB4"/>
    <w:rsid w:val="00FC4FAC"/>
    <w:rsid w:val="00FC51B8"/>
    <w:rsid w:val="00FC5FD1"/>
    <w:rsid w:val="00FC6B16"/>
    <w:rsid w:val="00FC6C2D"/>
    <w:rsid w:val="00FC7037"/>
    <w:rsid w:val="00FD104C"/>
    <w:rsid w:val="00FD14DA"/>
    <w:rsid w:val="00FD16AB"/>
    <w:rsid w:val="00FD2E3A"/>
    <w:rsid w:val="00FD38DC"/>
    <w:rsid w:val="00FD43E0"/>
    <w:rsid w:val="00FD6457"/>
    <w:rsid w:val="00FD64A5"/>
    <w:rsid w:val="00FD755E"/>
    <w:rsid w:val="00FD7CD3"/>
    <w:rsid w:val="00FE1FF5"/>
    <w:rsid w:val="00FE41CA"/>
    <w:rsid w:val="00FE443E"/>
    <w:rsid w:val="00FE44C5"/>
    <w:rsid w:val="00FE5CAD"/>
    <w:rsid w:val="00FF084C"/>
    <w:rsid w:val="00FF0A5B"/>
    <w:rsid w:val="00FF1021"/>
    <w:rsid w:val="00FF141F"/>
    <w:rsid w:val="00FF19D9"/>
    <w:rsid w:val="00FF1E49"/>
    <w:rsid w:val="00FF1FFA"/>
    <w:rsid w:val="00FF2DC1"/>
    <w:rsid w:val="00FF3479"/>
    <w:rsid w:val="00FF3D24"/>
    <w:rsid w:val="00FF3FB4"/>
    <w:rsid w:val="00FF406D"/>
    <w:rsid w:val="00FF4E04"/>
    <w:rsid w:val="00FF51B8"/>
    <w:rsid w:val="00FF5CE3"/>
    <w:rsid w:val="00FF76D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8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ers" w:eastAsia="Times New Roman" w:hAnsi="Univers" w:cs="Times New Roman"/>
        <w:sz w:val="26"/>
        <w:szCs w:val="26"/>
        <w:lang w:val="en-AU" w:eastAsia="en-AU"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uiPriority="9" w:qFormat="1"/>
    <w:lsdException w:name="heading 3" w:uiPriority="9"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5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56"/>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55"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99"/>
    <w:semiHidden/>
    <w:qFormat/>
    <w:rsid w:val="001E47D1"/>
    <w:pPr>
      <w:tabs>
        <w:tab w:val="left" w:pos="720"/>
        <w:tab w:val="left" w:pos="1440"/>
        <w:tab w:val="left" w:pos="2160"/>
        <w:tab w:val="left" w:pos="2880"/>
        <w:tab w:val="left" w:pos="3600"/>
        <w:tab w:val="left" w:pos="4320"/>
        <w:tab w:val="left" w:pos="5040"/>
        <w:tab w:val="left" w:pos="5760"/>
        <w:tab w:val="left" w:pos="6480"/>
        <w:tab w:val="left" w:pos="7200"/>
      </w:tabs>
      <w:spacing w:line="480" w:lineRule="exact"/>
      <w:ind w:right="130" w:firstLine="720"/>
    </w:pPr>
  </w:style>
  <w:style w:type="paragraph" w:styleId="Heading1">
    <w:name w:val="heading 1"/>
    <w:basedOn w:val="Normal"/>
    <w:next w:val="Normal"/>
    <w:uiPriority w:val="99"/>
    <w:semiHidden/>
    <w:qFormat/>
    <w:locked/>
    <w:rsid w:val="00F75FE2"/>
    <w:pPr>
      <w:keepNext/>
      <w:numPr>
        <w:numId w:val="5"/>
      </w:numPr>
      <w:ind w:right="1296"/>
      <w:outlineLvl w:val="0"/>
    </w:pPr>
    <w:rPr>
      <w:u w:val="single"/>
    </w:rPr>
  </w:style>
  <w:style w:type="paragraph" w:styleId="Heading2">
    <w:name w:val="heading 2"/>
    <w:basedOn w:val="Normal"/>
    <w:next w:val="Normal"/>
    <w:uiPriority w:val="99"/>
    <w:semiHidden/>
    <w:qFormat/>
    <w:locked/>
    <w:rsid w:val="00F75FE2"/>
    <w:pPr>
      <w:keepNext/>
      <w:numPr>
        <w:ilvl w:val="1"/>
        <w:numId w:val="5"/>
      </w:numPr>
      <w:spacing w:before="240" w:after="60"/>
      <w:outlineLvl w:val="1"/>
    </w:pPr>
    <w:rPr>
      <w:rFonts w:ascii="Arial" w:hAnsi="Arial"/>
      <w:b/>
      <w:i/>
      <w:sz w:val="24"/>
    </w:rPr>
  </w:style>
  <w:style w:type="paragraph" w:styleId="Heading3">
    <w:name w:val="heading 3"/>
    <w:basedOn w:val="Normal"/>
    <w:next w:val="Normal"/>
    <w:uiPriority w:val="99"/>
    <w:semiHidden/>
    <w:qFormat/>
    <w:locked/>
    <w:rsid w:val="00F75FE2"/>
    <w:pPr>
      <w:keepNext/>
      <w:numPr>
        <w:ilvl w:val="2"/>
        <w:numId w:val="5"/>
      </w:numPr>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43"/>
    <w:locked/>
    <w:pPr>
      <w:tabs>
        <w:tab w:val="center" w:pos="4153"/>
        <w:tab w:val="right" w:pos="8306"/>
      </w:tabs>
      <w:spacing w:after="240" w:line="240" w:lineRule="exact"/>
      <w:ind w:firstLine="0"/>
    </w:pPr>
  </w:style>
  <w:style w:type="paragraph" w:customStyle="1" w:styleId="FootInd">
    <w:name w:val="FootInd"/>
    <w:basedOn w:val="FootnoteText"/>
    <w:uiPriority w:val="45"/>
    <w:qFormat/>
    <w:locked/>
    <w:rsid w:val="00570D24"/>
    <w:pPr>
      <w:tabs>
        <w:tab w:val="clear" w:pos="720"/>
        <w:tab w:val="clear" w:pos="1440"/>
        <w:tab w:val="clear" w:pos="2160"/>
        <w:tab w:val="clear" w:pos="2880"/>
        <w:tab w:val="clear" w:pos="3600"/>
        <w:tab w:val="clear" w:pos="4320"/>
        <w:tab w:val="clear" w:pos="5040"/>
        <w:tab w:val="clear" w:pos="5760"/>
        <w:tab w:val="clear" w:pos="6480"/>
        <w:tab w:val="clear" w:pos="7200"/>
      </w:tabs>
      <w:ind w:left="1440" w:right="1077" w:firstLine="0"/>
    </w:pPr>
  </w:style>
  <w:style w:type="paragraph" w:customStyle="1" w:styleId="leftright">
    <w:name w:val="leftright"/>
    <w:basedOn w:val="Normal"/>
    <w:uiPriority w:val="33"/>
    <w:qFormat/>
    <w:locked/>
    <w:rsid w:val="00B976F6"/>
    <w:pPr>
      <w:spacing w:before="240" w:line="240" w:lineRule="exact"/>
      <w:ind w:left="720" w:right="794" w:firstLine="0"/>
    </w:pPr>
  </w:style>
  <w:style w:type="paragraph" w:styleId="FootnoteText">
    <w:name w:val="footnote text"/>
    <w:basedOn w:val="Normal"/>
    <w:link w:val="FootnoteTextChar"/>
    <w:uiPriority w:val="99"/>
    <w:locked/>
    <w:pPr>
      <w:spacing w:after="240" w:line="240" w:lineRule="exact"/>
      <w:ind w:left="510" w:hanging="510"/>
    </w:pPr>
  </w:style>
  <w:style w:type="character" w:styleId="FootnoteReference">
    <w:name w:val="footnote reference"/>
    <w:uiPriority w:val="51"/>
    <w:locked/>
    <w:rsid w:val="00C40EB3"/>
    <w:rPr>
      <w:b/>
      <w:sz w:val="28"/>
      <w:vertAlign w:val="superscript"/>
    </w:rPr>
  </w:style>
  <w:style w:type="paragraph" w:customStyle="1" w:styleId="FootIndAgain">
    <w:name w:val="FootIndAgain"/>
    <w:basedOn w:val="FootnoteText"/>
    <w:uiPriority w:val="47"/>
    <w:qFormat/>
    <w:locked/>
    <w:rsid w:val="00570D24"/>
    <w:pPr>
      <w:tabs>
        <w:tab w:val="clear" w:pos="720"/>
        <w:tab w:val="clear" w:pos="1440"/>
        <w:tab w:val="clear" w:pos="2160"/>
        <w:tab w:val="clear" w:pos="2880"/>
        <w:tab w:val="clear" w:pos="3600"/>
        <w:tab w:val="clear" w:pos="4320"/>
        <w:tab w:val="clear" w:pos="5040"/>
        <w:tab w:val="clear" w:pos="5760"/>
        <w:tab w:val="clear" w:pos="6480"/>
        <w:tab w:val="clear" w:pos="7200"/>
      </w:tabs>
      <w:ind w:left="2160" w:right="1077" w:firstLine="0"/>
    </w:pPr>
  </w:style>
  <w:style w:type="paragraph" w:customStyle="1" w:styleId="FootNorm">
    <w:name w:val="FootNorm"/>
    <w:basedOn w:val="FootnoteText"/>
    <w:uiPriority w:val="49"/>
    <w:qFormat/>
    <w:locked/>
    <w:rsid w:val="00570D24"/>
    <w:pPr>
      <w:ind w:firstLine="0"/>
    </w:pPr>
  </w:style>
  <w:style w:type="character" w:customStyle="1" w:styleId="Heading1Char">
    <w:name w:val="Heading 1 Char"/>
    <w:uiPriority w:val="99"/>
    <w:semiHidden/>
    <w:locked/>
    <w:rPr>
      <w:rFonts w:ascii="Univers" w:hAnsi="Univers"/>
      <w:sz w:val="26"/>
      <w:u w:val="single"/>
      <w:lang w:val="en-AU"/>
    </w:rPr>
  </w:style>
  <w:style w:type="character" w:customStyle="1" w:styleId="Heading2Char">
    <w:name w:val="Heading 2 Char"/>
    <w:uiPriority w:val="99"/>
    <w:semiHidden/>
    <w:locked/>
    <w:rPr>
      <w:rFonts w:ascii="Arial" w:hAnsi="Arial"/>
      <w:b/>
      <w:i/>
      <w:sz w:val="24"/>
      <w:lang w:val="en-AU"/>
    </w:rPr>
  </w:style>
  <w:style w:type="character" w:customStyle="1" w:styleId="Heading3Char">
    <w:name w:val="Heading 3 Char"/>
    <w:uiPriority w:val="99"/>
    <w:semiHidden/>
    <w:locked/>
    <w:rPr>
      <w:rFonts w:ascii="Arial" w:hAnsi="Arial"/>
      <w:sz w:val="24"/>
      <w:lang w:val="en-AU"/>
    </w:rPr>
  </w:style>
  <w:style w:type="paragraph" w:customStyle="1" w:styleId="NormalHC">
    <w:name w:val="Normal HC"/>
    <w:basedOn w:val="Normal"/>
    <w:uiPriority w:val="27"/>
    <w:qFormat/>
    <w:locked/>
    <w:rsid w:val="006E359B"/>
    <w:pPr>
      <w:numPr>
        <w:numId w:val="16"/>
      </w:numPr>
      <w:spacing w:after="480"/>
      <w:ind w:left="0" w:hanging="720"/>
    </w:pPr>
  </w:style>
  <w:style w:type="paragraph" w:customStyle="1" w:styleId="HeadingFirst">
    <w:name w:val="Heading First"/>
    <w:basedOn w:val="NormalHC"/>
    <w:next w:val="HeadingV"/>
    <w:uiPriority w:val="15"/>
    <w:qFormat/>
    <w:locked/>
    <w:rsid w:val="005F3216"/>
    <w:pPr>
      <w:keepNext/>
      <w:numPr>
        <w:numId w:val="0"/>
      </w:numPr>
      <w:jc w:val="center"/>
      <w:outlineLvl w:val="1"/>
    </w:pPr>
    <w:rPr>
      <w:caps/>
      <w:u w:val="single"/>
    </w:rPr>
  </w:style>
  <w:style w:type="paragraph" w:customStyle="1" w:styleId="HeadingL1">
    <w:name w:val="Heading L1"/>
    <w:basedOn w:val="NormalHC"/>
    <w:next w:val="NormalHC"/>
    <w:uiPriority w:val="21"/>
    <w:qFormat/>
    <w:locked/>
    <w:rsid w:val="005F3216"/>
    <w:pPr>
      <w:keepNext/>
      <w:numPr>
        <w:numId w:val="0"/>
      </w:numPr>
      <w:outlineLvl w:val="2"/>
    </w:pPr>
    <w:rPr>
      <w:b/>
      <w:szCs w:val="20"/>
    </w:rPr>
  </w:style>
  <w:style w:type="paragraph" w:customStyle="1" w:styleId="HeadingL2">
    <w:name w:val="Heading L2"/>
    <w:basedOn w:val="HeadingL1"/>
    <w:next w:val="NormalHC"/>
    <w:uiPriority w:val="23"/>
    <w:qFormat/>
    <w:locked/>
    <w:rsid w:val="00745DD2"/>
    <w:pPr>
      <w:outlineLvl w:val="3"/>
    </w:pPr>
    <w:rPr>
      <w:b w:val="0"/>
      <w:i/>
    </w:rPr>
  </w:style>
  <w:style w:type="paragraph" w:customStyle="1" w:styleId="HeadingMatter">
    <w:name w:val="Heading Matter"/>
    <w:basedOn w:val="NormalHC"/>
    <w:next w:val="HeadingFirst"/>
    <w:uiPriority w:val="13"/>
    <w:qFormat/>
    <w:locked/>
    <w:rsid w:val="005F3216"/>
    <w:pPr>
      <w:keepNext/>
      <w:numPr>
        <w:numId w:val="0"/>
      </w:numPr>
      <w:spacing w:after="0"/>
      <w:outlineLvl w:val="0"/>
    </w:pPr>
    <w:rPr>
      <w:u w:val="single"/>
    </w:rPr>
  </w:style>
  <w:style w:type="paragraph" w:customStyle="1" w:styleId="HeadingSecond">
    <w:name w:val="Heading Second"/>
    <w:basedOn w:val="HeadingFirst"/>
    <w:next w:val="NormalHC"/>
    <w:uiPriority w:val="19"/>
    <w:qFormat/>
    <w:locked/>
    <w:rsid w:val="000E65F7"/>
    <w:pPr>
      <w:keepNext w:val="0"/>
    </w:pPr>
  </w:style>
  <w:style w:type="paragraph" w:customStyle="1" w:styleId="HeadingV">
    <w:name w:val="Heading V"/>
    <w:basedOn w:val="HeadingFirst"/>
    <w:next w:val="HeadingSecond"/>
    <w:uiPriority w:val="17"/>
    <w:qFormat/>
    <w:locked/>
    <w:rsid w:val="000E65F7"/>
    <w:rPr>
      <w:caps w:val="0"/>
      <w:u w:val="none"/>
    </w:rPr>
  </w:style>
  <w:style w:type="paragraph" w:customStyle="1" w:styleId="LeftrightafterHC">
    <w:name w:val="Leftright after HC"/>
    <w:basedOn w:val="Normal"/>
    <w:next w:val="leftright"/>
    <w:uiPriority w:val="31"/>
    <w:qFormat/>
    <w:locked/>
    <w:rsid w:val="00B976F6"/>
    <w:pPr>
      <w:spacing w:before="720" w:line="240" w:lineRule="exact"/>
      <w:ind w:left="720" w:right="794" w:firstLine="0"/>
    </w:pPr>
  </w:style>
  <w:style w:type="paragraph" w:customStyle="1" w:styleId="LRIndentafterHC">
    <w:name w:val="LR Indent after HC"/>
    <w:basedOn w:val="LeftrightafterHC"/>
    <w:next w:val="leftright"/>
    <w:uiPriority w:val="39"/>
    <w:qFormat/>
    <w:locked/>
    <w:rsid w:val="00E66E21"/>
    <w:pPr>
      <w:ind w:firstLine="720"/>
    </w:pPr>
  </w:style>
  <w:style w:type="paragraph" w:customStyle="1" w:styleId="LeftrightHanging">
    <w:name w:val="LeftrightHanging"/>
    <w:basedOn w:val="NormalHC"/>
    <w:uiPriority w:val="35"/>
    <w:qFormat/>
    <w:locked/>
    <w:rsid w:val="00E66E21"/>
    <w:pPr>
      <w:numPr>
        <w:numId w:val="0"/>
      </w:numPr>
      <w:spacing w:before="240" w:after="0" w:line="240" w:lineRule="exact"/>
      <w:ind w:left="1440" w:right="794" w:hanging="720"/>
    </w:pPr>
    <w:rPr>
      <w:szCs w:val="20"/>
    </w:rPr>
  </w:style>
  <w:style w:type="paragraph" w:customStyle="1" w:styleId="LRIndent">
    <w:name w:val="LR Indent"/>
    <w:basedOn w:val="Normal"/>
    <w:uiPriority w:val="41"/>
    <w:qFormat/>
    <w:locked/>
    <w:rsid w:val="00E66E21"/>
    <w:pPr>
      <w:tabs>
        <w:tab w:val="clear" w:pos="720"/>
        <w:tab w:val="clear" w:pos="1440"/>
        <w:tab w:val="clear" w:pos="2160"/>
        <w:tab w:val="clear" w:pos="2880"/>
        <w:tab w:val="clear" w:pos="3600"/>
        <w:tab w:val="clear" w:pos="4320"/>
        <w:tab w:val="clear" w:pos="5040"/>
        <w:tab w:val="clear" w:pos="5760"/>
        <w:tab w:val="clear" w:pos="6480"/>
        <w:tab w:val="clear" w:pos="7200"/>
      </w:tabs>
      <w:spacing w:before="240" w:line="240" w:lineRule="exact"/>
      <w:ind w:left="720" w:right="794"/>
    </w:pPr>
  </w:style>
  <w:style w:type="paragraph" w:customStyle="1" w:styleId="LRHangingMore">
    <w:name w:val="LRHangingMore"/>
    <w:basedOn w:val="LeftrightHanging"/>
    <w:uiPriority w:val="37"/>
    <w:qFormat/>
    <w:locked/>
    <w:rsid w:val="00E66E21"/>
    <w:pPr>
      <w:spacing w:before="200"/>
      <w:ind w:left="2160"/>
    </w:pPr>
  </w:style>
  <w:style w:type="paragraph" w:customStyle="1" w:styleId="NormalafterHd2nd">
    <w:name w:val="Normal after Hd2nd"/>
    <w:basedOn w:val="NormalHC"/>
    <w:next w:val="NormalHC"/>
    <w:uiPriority w:val="29"/>
    <w:locked/>
    <w:rsid w:val="005F3216"/>
    <w:pPr>
      <w:numPr>
        <w:numId w:val="0"/>
      </w:numPr>
      <w:spacing w:before="1000"/>
    </w:pPr>
  </w:style>
  <w:style w:type="character" w:customStyle="1" w:styleId="NormalHCChar">
    <w:name w:val="Normal HC Char"/>
    <w:uiPriority w:val="99"/>
    <w:semiHidden/>
    <w:locked/>
    <w:rPr>
      <w:rFonts w:ascii="Univers" w:hAnsi="Univers"/>
      <w:sz w:val="26"/>
      <w:szCs w:val="26"/>
    </w:rPr>
  </w:style>
  <w:style w:type="character" w:customStyle="1" w:styleId="StyleFootnoteReferenceChar">
    <w:name w:val="Style Footnote Reference Char"/>
    <w:uiPriority w:val="99"/>
    <w:semiHidden/>
    <w:locked/>
    <w:rPr>
      <w:rFonts w:ascii="Univers" w:hAnsi="Univers"/>
      <w:sz w:val="26"/>
      <w:szCs w:val="26"/>
      <w:vertAlign w:val="superscript"/>
      <w:lang w:val="en-AU" w:eastAsia="en-AU" w:bidi="ar-SA"/>
    </w:rPr>
  </w:style>
  <w:style w:type="character" w:customStyle="1" w:styleId="FooterChar">
    <w:name w:val="Footer Char"/>
    <w:basedOn w:val="DefaultParagraphFont"/>
    <w:link w:val="Footer"/>
    <w:uiPriority w:val="43"/>
    <w:rsid w:val="00663E86"/>
  </w:style>
  <w:style w:type="paragraph" w:customStyle="1" w:styleId="HeadingJudgment">
    <w:name w:val="Heading Judgment"/>
    <w:basedOn w:val="Normal"/>
    <w:uiPriority w:val="59"/>
    <w:qFormat/>
    <w:locked/>
    <w:rsid w:val="00F90EB0"/>
    <w:pPr>
      <w:tabs>
        <w:tab w:val="clear" w:pos="720"/>
        <w:tab w:val="clear" w:pos="1440"/>
        <w:tab w:val="clear" w:pos="2160"/>
        <w:tab w:val="clear" w:pos="2880"/>
        <w:tab w:val="clear" w:pos="3600"/>
        <w:tab w:val="clear" w:pos="4320"/>
        <w:tab w:val="clear" w:pos="5040"/>
        <w:tab w:val="clear" w:pos="5760"/>
        <w:tab w:val="clear" w:pos="6480"/>
        <w:tab w:val="clear" w:pos="7200"/>
        <w:tab w:val="left" w:pos="6237"/>
      </w:tabs>
      <w:spacing w:line="240" w:lineRule="auto"/>
      <w:ind w:right="0" w:firstLine="0"/>
    </w:pPr>
  </w:style>
  <w:style w:type="paragraph" w:customStyle="1" w:styleId="ClosingTextSign">
    <w:name w:val="Closing Text Sign"/>
    <w:basedOn w:val="Normal"/>
    <w:uiPriority w:val="99"/>
    <w:semiHidden/>
    <w:qFormat/>
    <w:locked/>
    <w:rsid w:val="00F75FE2"/>
    <w:pPr>
      <w:tabs>
        <w:tab w:val="clear" w:pos="720"/>
        <w:tab w:val="clear" w:pos="1440"/>
        <w:tab w:val="clear" w:pos="2160"/>
        <w:tab w:val="clear" w:pos="2880"/>
        <w:tab w:val="clear" w:pos="3600"/>
        <w:tab w:val="clear" w:pos="4320"/>
        <w:tab w:val="clear" w:pos="5040"/>
        <w:tab w:val="clear" w:pos="5760"/>
        <w:tab w:val="clear" w:pos="6480"/>
        <w:tab w:val="clear" w:pos="7200"/>
        <w:tab w:val="right" w:leader="underscore" w:pos="8505"/>
      </w:tabs>
      <w:spacing w:line="840" w:lineRule="exact"/>
      <w:ind w:left="2268" w:right="0" w:firstLine="0"/>
      <w:jc w:val="both"/>
    </w:pPr>
    <w:rPr>
      <w:sz w:val="20"/>
    </w:rPr>
  </w:style>
  <w:style w:type="paragraph" w:customStyle="1" w:styleId="HeadingL3">
    <w:name w:val="Heading L3"/>
    <w:basedOn w:val="HeadingL1"/>
    <w:next w:val="NormalHC"/>
    <w:uiPriority w:val="25"/>
    <w:qFormat/>
    <w:locked/>
    <w:rsid w:val="00CE2EB2"/>
    <w:pPr>
      <w:outlineLvl w:val="4"/>
    </w:pPr>
    <w:rPr>
      <w:b w:val="0"/>
    </w:rPr>
  </w:style>
  <w:style w:type="character" w:styleId="PageNumber">
    <w:name w:val="page number"/>
    <w:basedOn w:val="DefaultParagraphFont"/>
    <w:uiPriority w:val="57"/>
    <w:locked/>
    <w:rsid w:val="00A2312E"/>
  </w:style>
  <w:style w:type="paragraph" w:styleId="BalloonText">
    <w:name w:val="Balloon Text"/>
    <w:basedOn w:val="Normal"/>
    <w:link w:val="BalloonTextChar"/>
    <w:semiHidden/>
    <w:locked/>
    <w:rsid w:val="005F4DFE"/>
    <w:rPr>
      <w:rFonts w:ascii="Tahoma" w:hAnsi="Tahoma" w:cs="Tahoma"/>
      <w:sz w:val="16"/>
      <w:szCs w:val="16"/>
      <w:lang w:eastAsia="en-US"/>
    </w:rPr>
  </w:style>
  <w:style w:type="character" w:customStyle="1" w:styleId="BalloonTextChar">
    <w:name w:val="Balloon Text Char"/>
    <w:basedOn w:val="DefaultParagraphFont"/>
    <w:link w:val="BalloonText"/>
    <w:semiHidden/>
    <w:rsid w:val="005F4DFE"/>
    <w:rPr>
      <w:rFonts w:ascii="Tahoma" w:hAnsi="Tahoma" w:cs="Tahoma"/>
      <w:sz w:val="16"/>
      <w:szCs w:val="16"/>
      <w:lang w:eastAsia="en-US"/>
    </w:rPr>
  </w:style>
  <w:style w:type="paragraph" w:customStyle="1" w:styleId="ClosingText">
    <w:name w:val="Closing Text"/>
    <w:basedOn w:val="Normal"/>
    <w:uiPriority w:val="98"/>
    <w:semiHidden/>
    <w:qFormat/>
    <w:locked/>
    <w:rsid w:val="005F4DFE"/>
    <w:pPr>
      <w:spacing w:line="240" w:lineRule="auto"/>
      <w:ind w:left="2268" w:right="0" w:firstLine="0"/>
      <w:jc w:val="both"/>
    </w:pPr>
    <w:rPr>
      <w:sz w:val="20"/>
      <w:szCs w:val="20"/>
      <w:lang w:eastAsia="en-US"/>
    </w:rPr>
  </w:style>
  <w:style w:type="paragraph" w:styleId="EnvelopeAddress">
    <w:name w:val="envelope address"/>
    <w:basedOn w:val="Normal"/>
    <w:uiPriority w:val="99"/>
    <w:semiHidden/>
    <w:unhideWhenUsed/>
    <w:locked/>
    <w:rsid w:val="005F4DFE"/>
    <w:pPr>
      <w:framePr w:w="7920" w:h="1980" w:hRule="exact" w:hSpace="180" w:wrap="auto" w:hAnchor="page" w:xAlign="center" w:yAlign="bottom"/>
      <w:spacing w:line="240" w:lineRule="auto"/>
      <w:ind w:left="2880"/>
    </w:pPr>
    <w:rPr>
      <w:rFonts w:ascii="Cambria" w:hAnsi="Cambria"/>
      <w:sz w:val="24"/>
      <w:szCs w:val="24"/>
      <w:lang w:eastAsia="en-US"/>
    </w:rPr>
  </w:style>
  <w:style w:type="paragraph" w:styleId="EnvelopeReturn">
    <w:name w:val="envelope return"/>
    <w:basedOn w:val="Normal"/>
    <w:uiPriority w:val="99"/>
    <w:semiHidden/>
    <w:unhideWhenUsed/>
    <w:locked/>
    <w:rsid w:val="005F4DFE"/>
    <w:pPr>
      <w:spacing w:line="240" w:lineRule="auto"/>
    </w:pPr>
    <w:rPr>
      <w:rFonts w:ascii="Cambria" w:hAnsi="Cambria"/>
      <w:sz w:val="20"/>
      <w:szCs w:val="20"/>
      <w:lang w:eastAsia="en-US"/>
    </w:rPr>
  </w:style>
  <w:style w:type="paragraph" w:styleId="Header">
    <w:name w:val="header"/>
    <w:basedOn w:val="Normal"/>
    <w:link w:val="HeaderChar"/>
    <w:uiPriority w:val="99"/>
    <w:locked/>
    <w:rsid w:val="005F4DFE"/>
    <w:pPr>
      <w:tabs>
        <w:tab w:val="clear" w:pos="720"/>
        <w:tab w:val="clear" w:pos="1440"/>
        <w:tab w:val="clear" w:pos="2160"/>
        <w:tab w:val="clear" w:pos="2880"/>
        <w:tab w:val="clear" w:pos="3600"/>
        <w:tab w:val="clear" w:pos="4320"/>
        <w:tab w:val="clear" w:pos="5040"/>
        <w:tab w:val="clear" w:pos="5760"/>
        <w:tab w:val="clear" w:pos="6480"/>
        <w:tab w:val="clear" w:pos="7200"/>
        <w:tab w:val="center" w:pos="4153"/>
        <w:tab w:val="right" w:pos="8306"/>
      </w:tabs>
    </w:pPr>
    <w:rPr>
      <w:szCs w:val="20"/>
      <w:lang w:eastAsia="en-US"/>
    </w:rPr>
  </w:style>
  <w:style w:type="character" w:customStyle="1" w:styleId="HeaderChar">
    <w:name w:val="Header Char"/>
    <w:link w:val="Header"/>
    <w:uiPriority w:val="99"/>
    <w:rsid w:val="00037A5F"/>
    <w:rPr>
      <w:szCs w:val="20"/>
      <w:lang w:eastAsia="en-US"/>
    </w:rPr>
  </w:style>
  <w:style w:type="paragraph" w:customStyle="1" w:styleId="NormalBody">
    <w:name w:val="Normal Body"/>
    <w:basedOn w:val="NormalHC"/>
    <w:uiPriority w:val="28"/>
    <w:qFormat/>
    <w:locked/>
    <w:rsid w:val="005F3216"/>
    <w:pPr>
      <w:numPr>
        <w:numId w:val="0"/>
      </w:numPr>
    </w:pPr>
    <w:rPr>
      <w:lang w:eastAsia="en-US"/>
    </w:rPr>
  </w:style>
  <w:style w:type="paragraph" w:customStyle="1" w:styleId="StyleFootnoteReference">
    <w:name w:val="Style Footnote Reference"/>
    <w:basedOn w:val="Normal"/>
    <w:next w:val="Normal"/>
    <w:semiHidden/>
    <w:rsid w:val="005F4DFE"/>
    <w:rPr>
      <w:vertAlign w:val="superscript"/>
      <w:lang w:eastAsia="en-US"/>
    </w:rPr>
  </w:style>
  <w:style w:type="paragraph" w:styleId="ListNumber">
    <w:name w:val="List Number"/>
    <w:basedOn w:val="Normal"/>
    <w:uiPriority w:val="56"/>
    <w:locked/>
    <w:rsid w:val="00473869"/>
    <w:pPr>
      <w:numPr>
        <w:numId w:val="11"/>
      </w:numPr>
      <w:contextualSpacing/>
    </w:pPr>
  </w:style>
  <w:style w:type="paragraph" w:customStyle="1" w:styleId="FixListStyle">
    <w:name w:val="FixListStyle"/>
    <w:basedOn w:val="Normal"/>
    <w:uiPriority w:val="99"/>
    <w:qFormat/>
    <w:rsid w:val="00583673"/>
    <w:pPr>
      <w:numPr>
        <w:numId w:val="19"/>
      </w:numPr>
      <w:spacing w:after="480"/>
      <w:ind w:left="0" w:hanging="720"/>
    </w:pPr>
  </w:style>
  <w:style w:type="paragraph" w:customStyle="1" w:styleId="CatchwordsBold">
    <w:name w:val="Catchwords Bold"/>
    <w:basedOn w:val="Normal"/>
    <w:link w:val="CatchwordsBoldChar"/>
    <w:qFormat/>
    <w:rsid w:val="0095456C"/>
    <w:pPr>
      <w:tabs>
        <w:tab w:val="clear" w:pos="4320"/>
        <w:tab w:val="clear" w:pos="5040"/>
        <w:tab w:val="clear" w:pos="5760"/>
        <w:tab w:val="clear" w:pos="7200"/>
      </w:tabs>
      <w:spacing w:line="280" w:lineRule="exact"/>
      <w:ind w:right="0" w:firstLine="0"/>
      <w:jc w:val="both"/>
    </w:pPr>
    <w:rPr>
      <w:rFonts w:ascii="Times New Roman" w:hAnsi="Times New Roman"/>
      <w:b/>
      <w:szCs w:val="20"/>
    </w:rPr>
  </w:style>
  <w:style w:type="character" w:customStyle="1" w:styleId="CatchwordsBoldChar">
    <w:name w:val="Catchwords Bold Char"/>
    <w:link w:val="CatchwordsBold"/>
    <w:rsid w:val="0095456C"/>
    <w:rPr>
      <w:rFonts w:ascii="Times New Roman" w:hAnsi="Times New Roman"/>
      <w:b/>
      <w:szCs w:val="20"/>
    </w:rPr>
  </w:style>
  <w:style w:type="paragraph" w:customStyle="1" w:styleId="CatchwordsRight">
    <w:name w:val="Catchwords Right"/>
    <w:basedOn w:val="Normal"/>
    <w:link w:val="CatchwordsRightChar"/>
    <w:qFormat/>
    <w:rsid w:val="0095456C"/>
    <w:pPr>
      <w:tabs>
        <w:tab w:val="clear" w:pos="4320"/>
        <w:tab w:val="clear" w:pos="5040"/>
        <w:tab w:val="clear" w:pos="5760"/>
        <w:tab w:val="clear" w:pos="7200"/>
      </w:tabs>
      <w:spacing w:line="280" w:lineRule="exact"/>
      <w:ind w:right="0" w:firstLine="0"/>
      <w:jc w:val="right"/>
    </w:pPr>
    <w:rPr>
      <w:rFonts w:ascii="Times New Roman" w:hAnsi="Times New Roman"/>
      <w:szCs w:val="20"/>
    </w:rPr>
  </w:style>
  <w:style w:type="character" w:customStyle="1" w:styleId="CatchwordsRightChar">
    <w:name w:val="Catchwords Right Char"/>
    <w:link w:val="CatchwordsRight"/>
    <w:rsid w:val="0095456C"/>
    <w:rPr>
      <w:rFonts w:ascii="Times New Roman" w:hAnsi="Times New Roman"/>
      <w:szCs w:val="20"/>
    </w:rPr>
  </w:style>
  <w:style w:type="paragraph" w:customStyle="1" w:styleId="CatchwordsText">
    <w:name w:val="Catchwords Text"/>
    <w:basedOn w:val="Normal"/>
    <w:link w:val="CatchwordsTextChar"/>
    <w:qFormat/>
    <w:rsid w:val="0095456C"/>
    <w:pPr>
      <w:tabs>
        <w:tab w:val="clear" w:pos="4320"/>
        <w:tab w:val="clear" w:pos="5040"/>
        <w:tab w:val="clear" w:pos="5760"/>
        <w:tab w:val="clear" w:pos="7200"/>
      </w:tabs>
      <w:spacing w:line="240" w:lineRule="auto"/>
      <w:ind w:right="0" w:firstLine="0"/>
      <w:jc w:val="both"/>
    </w:pPr>
    <w:rPr>
      <w:rFonts w:ascii="Times New Roman" w:hAnsi="Times New Roman"/>
      <w:szCs w:val="20"/>
    </w:rPr>
  </w:style>
  <w:style w:type="character" w:customStyle="1" w:styleId="CatchwordsTextChar">
    <w:name w:val="Catchwords Text Char"/>
    <w:link w:val="CatchwordsText"/>
    <w:rsid w:val="0095456C"/>
    <w:rPr>
      <w:rFonts w:ascii="Times New Roman" w:hAnsi="Times New Roman"/>
      <w:szCs w:val="20"/>
    </w:rPr>
  </w:style>
  <w:style w:type="paragraph" w:customStyle="1" w:styleId="CenteredBorder">
    <w:name w:val="Centered Border"/>
    <w:qFormat/>
    <w:rsid w:val="0095456C"/>
    <w:pPr>
      <w:pBdr>
        <w:top w:val="single" w:sz="12" w:space="1" w:color="auto"/>
      </w:pBdr>
      <w:tabs>
        <w:tab w:val="left" w:pos="720"/>
        <w:tab w:val="left" w:pos="1440"/>
        <w:tab w:val="left" w:pos="5103"/>
      </w:tabs>
      <w:ind w:left="1440" w:right="1457"/>
    </w:pPr>
    <w:rPr>
      <w:rFonts w:ascii="Times New Roman" w:hAnsi="Times New Roman"/>
      <w:szCs w:val="20"/>
      <w:lang w:val="en-GB"/>
    </w:rPr>
  </w:style>
  <w:style w:type="paragraph" w:customStyle="1" w:styleId="OrderCentreBold">
    <w:name w:val="Order Centre Bold"/>
    <w:rsid w:val="0095456C"/>
    <w:pPr>
      <w:jc w:val="center"/>
    </w:pPr>
    <w:rPr>
      <w:rFonts w:ascii="Times New Roman" w:hAnsi="Times New Roman"/>
      <w:b/>
      <w:bCs/>
      <w:szCs w:val="20"/>
      <w:lang w:val="en-GB"/>
    </w:rPr>
  </w:style>
  <w:style w:type="character" w:customStyle="1" w:styleId="OrderCentred">
    <w:name w:val="Order Centred"/>
    <w:semiHidden/>
    <w:rsid w:val="0095456C"/>
    <w:rPr>
      <w:b/>
      <w:bCs/>
      <w:sz w:val="26"/>
    </w:rPr>
  </w:style>
  <w:style w:type="paragraph" w:customStyle="1" w:styleId="OrdersTopLine">
    <w:name w:val="Orders TopLine"/>
    <w:qFormat/>
    <w:rsid w:val="0095456C"/>
    <w:pPr>
      <w:spacing w:line="240" w:lineRule="atLeast"/>
      <w:ind w:right="17"/>
      <w:jc w:val="center"/>
      <w:outlineLvl w:val="0"/>
    </w:pPr>
    <w:rPr>
      <w:rFonts w:ascii="Times New Roman" w:hAnsi="Times New Roman"/>
      <w:b/>
      <w:bCs/>
      <w:kern w:val="28"/>
      <w:sz w:val="48"/>
      <w:szCs w:val="20"/>
      <w:lang w:val="en-GB" w:eastAsia="en-US"/>
    </w:rPr>
  </w:style>
  <w:style w:type="paragraph" w:customStyle="1" w:styleId="OrdersBody">
    <w:name w:val="Orders Body"/>
    <w:basedOn w:val="Normal"/>
    <w:qFormat/>
    <w:rsid w:val="0095456C"/>
    <w:pPr>
      <w:tabs>
        <w:tab w:val="clear" w:pos="2160"/>
        <w:tab w:val="clear" w:pos="2880"/>
        <w:tab w:val="clear" w:pos="3600"/>
        <w:tab w:val="clear" w:pos="4320"/>
        <w:tab w:val="clear" w:pos="5040"/>
        <w:tab w:val="clear" w:pos="5760"/>
        <w:tab w:val="clear" w:pos="6480"/>
        <w:tab w:val="clear" w:pos="7200"/>
      </w:tabs>
      <w:spacing w:line="240" w:lineRule="auto"/>
      <w:ind w:right="17" w:firstLine="0"/>
      <w:jc w:val="both"/>
    </w:pPr>
    <w:rPr>
      <w:rFonts w:ascii="Times New Roman" w:hAnsi="Times New Roman"/>
      <w:szCs w:val="20"/>
      <w:lang w:val="en-GB"/>
    </w:rPr>
  </w:style>
  <w:style w:type="paragraph" w:customStyle="1" w:styleId="OrdersBodyHeading">
    <w:name w:val="Orders Body Heading"/>
    <w:basedOn w:val="Normal"/>
    <w:qFormat/>
    <w:rsid w:val="0095456C"/>
    <w:pPr>
      <w:tabs>
        <w:tab w:val="clear" w:pos="2160"/>
        <w:tab w:val="clear" w:pos="2880"/>
        <w:tab w:val="clear" w:pos="3600"/>
        <w:tab w:val="clear" w:pos="4320"/>
        <w:tab w:val="clear" w:pos="5040"/>
        <w:tab w:val="clear" w:pos="5760"/>
        <w:tab w:val="clear" w:pos="6480"/>
        <w:tab w:val="clear" w:pos="7200"/>
      </w:tabs>
      <w:spacing w:line="240" w:lineRule="auto"/>
      <w:ind w:right="17" w:firstLine="0"/>
      <w:jc w:val="both"/>
    </w:pPr>
    <w:rPr>
      <w:rFonts w:ascii="Times New Roman" w:hAnsi="Times New Roman"/>
      <w:b/>
      <w:bCs/>
      <w:szCs w:val="20"/>
      <w:lang w:val="en-GB"/>
    </w:rPr>
  </w:style>
  <w:style w:type="paragraph" w:customStyle="1" w:styleId="OrdersCentre">
    <w:name w:val="Orders Centre"/>
    <w:qFormat/>
    <w:rsid w:val="0095456C"/>
    <w:pPr>
      <w:tabs>
        <w:tab w:val="left" w:pos="720"/>
        <w:tab w:val="left" w:pos="1440"/>
      </w:tabs>
      <w:ind w:right="17"/>
      <w:jc w:val="center"/>
    </w:pPr>
    <w:rPr>
      <w:rFonts w:ascii="Times New Roman" w:hAnsi="Times New Roman"/>
      <w:szCs w:val="20"/>
      <w:lang w:val="en-GB"/>
    </w:rPr>
  </w:style>
  <w:style w:type="paragraph" w:customStyle="1" w:styleId="OrdersCentreItalics">
    <w:name w:val="Orders Centre Italics"/>
    <w:basedOn w:val="Normal"/>
    <w:qFormat/>
    <w:rsid w:val="0095456C"/>
    <w:pPr>
      <w:tabs>
        <w:tab w:val="clear" w:pos="2160"/>
        <w:tab w:val="clear" w:pos="2880"/>
        <w:tab w:val="clear" w:pos="3600"/>
        <w:tab w:val="clear" w:pos="4320"/>
        <w:tab w:val="clear" w:pos="5040"/>
        <w:tab w:val="clear" w:pos="5760"/>
        <w:tab w:val="clear" w:pos="6480"/>
        <w:tab w:val="clear" w:pos="7200"/>
      </w:tabs>
      <w:spacing w:line="240" w:lineRule="auto"/>
      <w:ind w:right="17" w:firstLine="0"/>
      <w:jc w:val="center"/>
    </w:pPr>
    <w:rPr>
      <w:rFonts w:ascii="Times New Roman" w:hAnsi="Times New Roman"/>
      <w:i/>
      <w:iCs/>
      <w:szCs w:val="20"/>
      <w:lang w:val="en-GB"/>
    </w:rPr>
  </w:style>
  <w:style w:type="paragraph" w:customStyle="1" w:styleId="OrdersIndentLevel1a">
    <w:name w:val="Orders Indent Level 1 (a)"/>
    <w:basedOn w:val="Normal"/>
    <w:link w:val="OrdersIndentLevel1aChar"/>
    <w:qFormat/>
    <w:rsid w:val="0095456C"/>
    <w:pPr>
      <w:tabs>
        <w:tab w:val="clear" w:pos="720"/>
        <w:tab w:val="clear" w:pos="1440"/>
        <w:tab w:val="clear" w:pos="2160"/>
        <w:tab w:val="clear" w:pos="4320"/>
        <w:tab w:val="clear" w:pos="5040"/>
        <w:tab w:val="clear" w:pos="5760"/>
        <w:tab w:val="clear" w:pos="7200"/>
        <w:tab w:val="left" w:pos="709"/>
        <w:tab w:val="left" w:pos="1418"/>
      </w:tabs>
      <w:spacing w:line="240" w:lineRule="auto"/>
      <w:ind w:left="1418" w:right="0" w:hanging="709"/>
      <w:jc w:val="both"/>
    </w:pPr>
    <w:rPr>
      <w:rFonts w:ascii="Times New Roman" w:hAnsi="Times New Roman"/>
      <w:i/>
      <w:lang w:eastAsia="en-US"/>
    </w:rPr>
  </w:style>
  <w:style w:type="character" w:customStyle="1" w:styleId="OrdersIndentLevel1aChar">
    <w:name w:val="Orders Indent Level 1 (a) Char"/>
    <w:link w:val="OrdersIndentLevel1a"/>
    <w:rsid w:val="0095456C"/>
    <w:rPr>
      <w:rFonts w:ascii="Times New Roman" w:hAnsi="Times New Roman"/>
      <w:i/>
      <w:lang w:eastAsia="en-US"/>
    </w:rPr>
  </w:style>
  <w:style w:type="paragraph" w:customStyle="1" w:styleId="OrdersIndentLevel2i">
    <w:name w:val="Orders Indent Level 2 (i)"/>
    <w:basedOn w:val="Normal"/>
    <w:link w:val="OrdersIndentLevel2iChar"/>
    <w:qFormat/>
    <w:rsid w:val="0095456C"/>
    <w:pPr>
      <w:tabs>
        <w:tab w:val="clear" w:pos="720"/>
        <w:tab w:val="clear" w:pos="1440"/>
        <w:tab w:val="clear" w:pos="4320"/>
        <w:tab w:val="clear" w:pos="5040"/>
        <w:tab w:val="clear" w:pos="5760"/>
        <w:tab w:val="clear" w:pos="7200"/>
      </w:tabs>
      <w:spacing w:line="240" w:lineRule="auto"/>
      <w:ind w:left="2836" w:right="0" w:hanging="1418"/>
      <w:jc w:val="both"/>
    </w:pPr>
    <w:rPr>
      <w:rFonts w:ascii="Times New Roman" w:hAnsi="Times New Roman"/>
      <w:i/>
      <w:lang w:eastAsia="en-US"/>
    </w:rPr>
  </w:style>
  <w:style w:type="character" w:customStyle="1" w:styleId="OrdersIndentLevel2iChar">
    <w:name w:val="Orders Indent Level 2 (i) Char"/>
    <w:link w:val="OrdersIndentLevel2i"/>
    <w:rsid w:val="0095456C"/>
    <w:rPr>
      <w:rFonts w:ascii="Times New Roman" w:hAnsi="Times New Roman"/>
      <w:i/>
      <w:lang w:eastAsia="en-US"/>
    </w:rPr>
  </w:style>
  <w:style w:type="paragraph" w:customStyle="1" w:styleId="OrdersMatter">
    <w:name w:val="Orders Matter"/>
    <w:basedOn w:val="OrderCentreBold"/>
    <w:link w:val="OrdersMatterChar"/>
    <w:qFormat/>
    <w:rsid w:val="0095456C"/>
  </w:style>
  <w:style w:type="character" w:customStyle="1" w:styleId="OrdersMatterChar">
    <w:name w:val="Orders Matter Char"/>
    <w:link w:val="OrdersMatter"/>
    <w:rsid w:val="0095456C"/>
    <w:rPr>
      <w:rFonts w:ascii="Times New Roman" w:hAnsi="Times New Roman"/>
      <w:b/>
      <w:bCs/>
      <w:szCs w:val="20"/>
      <w:lang w:val="en-GB"/>
    </w:rPr>
  </w:style>
  <w:style w:type="paragraph" w:customStyle="1" w:styleId="OrdersNotice">
    <w:name w:val="Orders Notice"/>
    <w:rsid w:val="0095456C"/>
    <w:pPr>
      <w:tabs>
        <w:tab w:val="left" w:pos="5103"/>
        <w:tab w:val="right" w:pos="7797"/>
      </w:tabs>
      <w:ind w:left="851" w:right="17"/>
    </w:pPr>
    <w:rPr>
      <w:rFonts w:ascii="Times New Roman" w:hAnsi="Times New Roman"/>
      <w:szCs w:val="20"/>
      <w:lang w:val="en-GB"/>
    </w:rPr>
  </w:style>
  <w:style w:type="paragraph" w:customStyle="1" w:styleId="OrdersRight">
    <w:name w:val="Orders Right"/>
    <w:basedOn w:val="Normal"/>
    <w:link w:val="OrdersRightChar"/>
    <w:qFormat/>
    <w:rsid w:val="0095456C"/>
    <w:pPr>
      <w:tabs>
        <w:tab w:val="clear" w:pos="4320"/>
        <w:tab w:val="clear" w:pos="5040"/>
        <w:tab w:val="clear" w:pos="5760"/>
        <w:tab w:val="clear" w:pos="7200"/>
      </w:tabs>
      <w:spacing w:line="240" w:lineRule="auto"/>
      <w:ind w:right="0" w:firstLine="0"/>
      <w:jc w:val="right"/>
    </w:pPr>
    <w:rPr>
      <w:rFonts w:ascii="Times New Roman" w:hAnsi="Times New Roman"/>
      <w:szCs w:val="20"/>
      <w:lang w:eastAsia="en-US"/>
    </w:rPr>
  </w:style>
  <w:style w:type="character" w:customStyle="1" w:styleId="OrdersRightChar">
    <w:name w:val="Orders Right Char"/>
    <w:link w:val="OrdersRight"/>
    <w:rsid w:val="0095456C"/>
    <w:rPr>
      <w:rFonts w:ascii="Times New Roman" w:hAnsi="Times New Roman"/>
      <w:szCs w:val="20"/>
      <w:lang w:eastAsia="en-US"/>
    </w:rPr>
  </w:style>
  <w:style w:type="paragraph" w:customStyle="1" w:styleId="OrdersText">
    <w:name w:val="Orders Text"/>
    <w:basedOn w:val="Normal"/>
    <w:link w:val="OrdersTextChar"/>
    <w:qFormat/>
    <w:rsid w:val="0095456C"/>
    <w:pPr>
      <w:spacing w:line="240" w:lineRule="auto"/>
      <w:ind w:left="709" w:right="0" w:hanging="709"/>
      <w:jc w:val="both"/>
    </w:pPr>
    <w:rPr>
      <w:rFonts w:ascii="Times New Roman" w:hAnsi="Times New Roman"/>
      <w:i/>
      <w:lang w:eastAsia="en-US"/>
    </w:rPr>
  </w:style>
  <w:style w:type="character" w:customStyle="1" w:styleId="OrdersTextChar">
    <w:name w:val="Orders Text Char"/>
    <w:link w:val="OrdersText"/>
    <w:rsid w:val="0095456C"/>
    <w:rPr>
      <w:rFonts w:ascii="Times New Roman" w:hAnsi="Times New Roman"/>
      <w:i/>
      <w:lang w:eastAsia="en-US"/>
    </w:rPr>
  </w:style>
  <w:style w:type="paragraph" w:customStyle="1" w:styleId="OrdersCenteredBorder">
    <w:name w:val="Orders Centered Border"/>
    <w:qFormat/>
    <w:rsid w:val="004B26D9"/>
    <w:pPr>
      <w:pBdr>
        <w:top w:val="single" w:sz="12" w:space="1" w:color="auto"/>
      </w:pBdr>
      <w:tabs>
        <w:tab w:val="left" w:pos="720"/>
        <w:tab w:val="left" w:pos="1440"/>
        <w:tab w:val="left" w:pos="5103"/>
      </w:tabs>
      <w:ind w:left="1440" w:right="1457"/>
    </w:pPr>
    <w:rPr>
      <w:rFonts w:ascii="Times New Roman" w:hAnsi="Times New Roman"/>
      <w:szCs w:val="20"/>
      <w:lang w:val="en-GB"/>
    </w:rPr>
  </w:style>
  <w:style w:type="paragraph" w:customStyle="1" w:styleId="OrdersPartyName">
    <w:name w:val="Orders PartyName"/>
    <w:basedOn w:val="Normal"/>
    <w:link w:val="OrdersPartyNameChar"/>
    <w:qFormat/>
    <w:rsid w:val="00B94B4F"/>
    <w:pPr>
      <w:tabs>
        <w:tab w:val="clear" w:pos="720"/>
        <w:tab w:val="clear" w:pos="1440"/>
        <w:tab w:val="clear" w:pos="2160"/>
        <w:tab w:val="clear" w:pos="2880"/>
        <w:tab w:val="clear" w:pos="3600"/>
        <w:tab w:val="clear" w:pos="4320"/>
        <w:tab w:val="clear" w:pos="5040"/>
        <w:tab w:val="clear" w:pos="5760"/>
        <w:tab w:val="clear" w:pos="6480"/>
        <w:tab w:val="clear" w:pos="7200"/>
        <w:tab w:val="right" w:pos="7938"/>
      </w:tabs>
      <w:spacing w:line="240" w:lineRule="auto"/>
      <w:ind w:right="2125" w:firstLine="0"/>
      <w:jc w:val="both"/>
    </w:pPr>
    <w:rPr>
      <w:rFonts w:ascii="Times New Roman" w:hAnsi="Times New Roman"/>
      <w:szCs w:val="20"/>
    </w:rPr>
  </w:style>
  <w:style w:type="character" w:customStyle="1" w:styleId="OrdersPartyNameChar">
    <w:name w:val="Orders PartyName Char"/>
    <w:link w:val="OrdersPartyName"/>
    <w:rsid w:val="00B94B4F"/>
    <w:rPr>
      <w:rFonts w:ascii="Times New Roman" w:hAnsi="Times New Roman"/>
      <w:szCs w:val="20"/>
    </w:rPr>
  </w:style>
  <w:style w:type="paragraph" w:customStyle="1" w:styleId="LRHangingafterHC">
    <w:name w:val="LR Hanging after HC"/>
    <w:basedOn w:val="Normal"/>
    <w:next w:val="LeftrightHanging"/>
    <w:uiPriority w:val="99"/>
    <w:qFormat/>
    <w:rsid w:val="0053324F"/>
    <w:pPr>
      <w:spacing w:before="720" w:line="240" w:lineRule="exact"/>
      <w:ind w:left="1440" w:right="794" w:hanging="720"/>
    </w:pPr>
  </w:style>
  <w:style w:type="character" w:styleId="Hyperlink">
    <w:name w:val="Hyperlink"/>
    <w:basedOn w:val="DefaultParagraphFont"/>
    <w:uiPriority w:val="99"/>
    <w:unhideWhenUsed/>
    <w:locked/>
    <w:rsid w:val="00C22939"/>
    <w:rPr>
      <w:color w:val="0000FF" w:themeColor="hyperlink"/>
      <w:u w:val="single"/>
    </w:rPr>
  </w:style>
  <w:style w:type="character" w:styleId="UnresolvedMention">
    <w:name w:val="Unresolved Mention"/>
    <w:basedOn w:val="DefaultParagraphFont"/>
    <w:uiPriority w:val="99"/>
    <w:semiHidden/>
    <w:unhideWhenUsed/>
    <w:rsid w:val="00C22939"/>
    <w:rPr>
      <w:color w:val="605E5C"/>
      <w:shd w:val="clear" w:color="auto" w:fill="E1DFDD"/>
    </w:rPr>
  </w:style>
  <w:style w:type="character" w:styleId="FollowedHyperlink">
    <w:name w:val="FollowedHyperlink"/>
    <w:basedOn w:val="DefaultParagraphFont"/>
    <w:uiPriority w:val="99"/>
    <w:semiHidden/>
    <w:unhideWhenUsed/>
    <w:locked/>
    <w:rsid w:val="00850F84"/>
    <w:rPr>
      <w:color w:val="800080" w:themeColor="followedHyperlink"/>
      <w:u w:val="single"/>
    </w:rPr>
  </w:style>
  <w:style w:type="character" w:customStyle="1" w:styleId="FootnoteTextChar">
    <w:name w:val="Footnote Text Char"/>
    <w:basedOn w:val="DefaultParagraphFont"/>
    <w:link w:val="FootnoteText"/>
    <w:uiPriority w:val="99"/>
    <w:rsid w:val="00DE24D5"/>
  </w:style>
  <w:style w:type="character" w:styleId="CommentReference">
    <w:name w:val="annotation reference"/>
    <w:basedOn w:val="DefaultParagraphFont"/>
    <w:uiPriority w:val="99"/>
    <w:semiHidden/>
    <w:unhideWhenUsed/>
    <w:locked/>
    <w:rsid w:val="003378FB"/>
    <w:rPr>
      <w:sz w:val="16"/>
      <w:szCs w:val="16"/>
    </w:rPr>
  </w:style>
  <w:style w:type="paragraph" w:styleId="CommentText">
    <w:name w:val="annotation text"/>
    <w:basedOn w:val="Normal"/>
    <w:link w:val="CommentTextChar"/>
    <w:uiPriority w:val="99"/>
    <w:semiHidden/>
    <w:unhideWhenUsed/>
    <w:locked/>
    <w:rsid w:val="003378FB"/>
    <w:pPr>
      <w:spacing w:line="240" w:lineRule="auto"/>
    </w:pPr>
    <w:rPr>
      <w:sz w:val="20"/>
      <w:szCs w:val="20"/>
    </w:rPr>
  </w:style>
  <w:style w:type="character" w:customStyle="1" w:styleId="CommentTextChar">
    <w:name w:val="Comment Text Char"/>
    <w:basedOn w:val="DefaultParagraphFont"/>
    <w:link w:val="CommentText"/>
    <w:uiPriority w:val="99"/>
    <w:semiHidden/>
    <w:rsid w:val="003378FB"/>
    <w:rPr>
      <w:sz w:val="20"/>
      <w:szCs w:val="20"/>
    </w:rPr>
  </w:style>
  <w:style w:type="paragraph" w:styleId="CommentSubject">
    <w:name w:val="annotation subject"/>
    <w:basedOn w:val="CommentText"/>
    <w:next w:val="CommentText"/>
    <w:link w:val="CommentSubjectChar"/>
    <w:uiPriority w:val="99"/>
    <w:semiHidden/>
    <w:unhideWhenUsed/>
    <w:locked/>
    <w:rsid w:val="003378FB"/>
    <w:rPr>
      <w:b/>
      <w:bCs/>
    </w:rPr>
  </w:style>
  <w:style w:type="character" w:customStyle="1" w:styleId="CommentSubjectChar">
    <w:name w:val="Comment Subject Char"/>
    <w:basedOn w:val="CommentTextChar"/>
    <w:link w:val="CommentSubject"/>
    <w:uiPriority w:val="99"/>
    <w:semiHidden/>
    <w:rsid w:val="003378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20795">
      <w:bodyDiv w:val="1"/>
      <w:marLeft w:val="0"/>
      <w:marRight w:val="0"/>
      <w:marTop w:val="0"/>
      <w:marBottom w:val="0"/>
      <w:divBdr>
        <w:top w:val="none" w:sz="0" w:space="0" w:color="auto"/>
        <w:left w:val="none" w:sz="0" w:space="0" w:color="auto"/>
        <w:bottom w:val="none" w:sz="0" w:space="0" w:color="auto"/>
        <w:right w:val="none" w:sz="0" w:space="0" w:color="auto"/>
      </w:divBdr>
    </w:div>
    <w:div w:id="160553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court.gov.au/about/the-buil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9D3FD22BA05C46A3F7778A4EAE21E6" ma:contentTypeVersion="12" ma:contentTypeDescription="Create a new document." ma:contentTypeScope="" ma:versionID="8ba8812850657c67d4fd4ec383a13a43">
  <xsd:schema xmlns:xsd="http://www.w3.org/2001/XMLSchema" xmlns:xs="http://www.w3.org/2001/XMLSchema" xmlns:p="http://schemas.microsoft.com/office/2006/metadata/properties" xmlns:ns2="9b759999-630c-45ee-bc6f-d9e065efddb7" xmlns:ns3="cbc5b7fd-636f-49ec-b8cc-eb8a3f2ba19e" targetNamespace="http://schemas.microsoft.com/office/2006/metadata/properties" ma:root="true" ma:fieldsID="b3fa18a4e693454e042bc0b7d057b92e" ns2:_="" ns3:_="">
    <xsd:import namespace="9b759999-630c-45ee-bc6f-d9e065efddb7"/>
    <xsd:import namespace="cbc5b7fd-636f-49ec-b8cc-eb8a3f2ba19e"/>
    <xsd:element name="properties">
      <xsd:complexType>
        <xsd:sequence>
          <xsd:element name="documentManagement">
            <xsd:complexType>
              <xsd:all>
                <xsd:element ref="ns2:MediaServiceAutoTags" minOccurs="0"/>
                <xsd:element ref="ns2:MediaServiceOCR" minOccurs="0"/>
                <xsd:element ref="ns2:MediaServiceLocation" minOccurs="0"/>
                <xsd:element ref="ns2:MediaServiceKeyPoints" minOccurs="0"/>
                <xsd:element ref="ns2:MediaServiceMetadata" minOccurs="0"/>
                <xsd:element ref="ns2:MediaServiceFastMetadata" minOccurs="0"/>
                <xsd:element ref="ns2:MediaServiceAutoKeyPoint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59999-630c-45ee-bc6f-d9e065efddb7"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OCR" ma:index="9" nillable="true" ma:displayName="Extracted Text" ma:description="" ma:internalName="MediaServiceOCR" ma:readOnly="true">
      <xsd:simpleType>
        <xsd:restriction base="dms:Note">
          <xsd:maxLength value="255"/>
        </xsd:restriction>
      </xsd:simpleType>
    </xsd:element>
    <xsd:element name="MediaServiceLocation" ma:index="10" nillable="true" ma:displayName="Location" ma:internalName="MediaServiceLocation" ma:readOnly="true">
      <xsd:simpleType>
        <xsd:restriction base="dms:Text"/>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b7fd-636f-49ec-b8cc-eb8a3f2ba1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C11D80-8FB0-4D3D-B291-7F185FFBC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59999-630c-45ee-bc6f-d9e065efddb7"/>
    <ds:schemaRef ds:uri="cbc5b7fd-636f-49ec-b8cc-eb8a3f2ba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DD54D-5AB1-4084-B29D-C530544F59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45AC4-4F30-4085-9CC8-1984E4D63B20}">
  <ds:schemaRefs>
    <ds:schemaRef ds:uri="http://schemas.openxmlformats.org/officeDocument/2006/bibliography"/>
  </ds:schemaRefs>
</ds:datastoreItem>
</file>

<file path=customXml/itemProps4.xml><?xml version="1.0" encoding="utf-8"?>
<ds:datastoreItem xmlns:ds="http://schemas.openxmlformats.org/officeDocument/2006/customXml" ds:itemID="{4CF51E2A-5120-49B8-B8A9-580B46FA2A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4083</Words>
  <Characters>23274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27303</CharactersWithSpaces>
  <SharedDoc>false</SharedDoc>
  <HLinks>
    <vt:vector size="6" baseType="variant">
      <vt:variant>
        <vt:i4>2031685</vt:i4>
      </vt:variant>
      <vt:variant>
        <vt:i4>0</vt:i4>
      </vt:variant>
      <vt:variant>
        <vt:i4>0</vt:i4>
      </vt:variant>
      <vt:variant>
        <vt:i4>5</vt:i4>
      </vt:variant>
      <vt:variant>
        <vt:lpwstr>https://www.hcourt.gov.au/about/the-building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2022-10-05T00:05:00Z</dcterms:created>
  <dcterms:modified xsi:type="dcterms:W3CDTF">2022-10-06T03:48:00Z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e01">
    <vt:lpwstr>KIEFEL CJ 01</vt:lpwstr>
  </property>
  <property fmtid="{D5CDD505-2E9C-101B-9397-08002B2CF9AE}" pid="3" name="Judge02">
    <vt:lpwstr>GAGELER J 02</vt:lpwstr>
  </property>
  <property fmtid="{D5CDD505-2E9C-101B-9397-08002B2CF9AE}" pid="4" name="Judge03">
    <vt:lpwstr>KEANE J 03</vt:lpwstr>
  </property>
  <property fmtid="{D5CDD505-2E9C-101B-9397-08002B2CF9AE}" pid="5" name="Judge04">
    <vt:lpwstr>GORDON J 04</vt:lpwstr>
  </property>
  <property fmtid="{D5CDD505-2E9C-101B-9397-08002B2CF9AE}" pid="6" name="Judge05">
    <vt:lpwstr>EDELMAN J 05</vt:lpwstr>
  </property>
  <property fmtid="{D5CDD505-2E9C-101B-9397-08002B2CF9AE}" pid="7" name="Judge06">
    <vt:lpwstr>STEWARD J 06</vt:lpwstr>
  </property>
  <property fmtid="{D5CDD505-2E9C-101B-9397-08002B2CF9AE}" pid="8" name="Judge07">
    <vt:lpwstr>GLEESON J 07</vt:lpwstr>
  </property>
  <property fmtid="{D5CDD505-2E9C-101B-9397-08002B2CF9AE}" pid="9" name="ContentTypeId">
    <vt:lpwstr>0x010100F49D3FD22BA05C46A3F7778A4EAE21E6</vt:lpwstr>
  </property>
</Properties>
</file>