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E7A39" w14:textId="77777777" w:rsidR="00F85ED8" w:rsidRDefault="00F85ED8" w:rsidP="00913869"/>
    <w:tbl>
      <w:tblPr>
        <w:tblW w:w="0" w:type="auto"/>
        <w:tblLook w:val="04A0" w:firstRow="1" w:lastRow="0" w:firstColumn="1" w:lastColumn="0" w:noHBand="0" w:noVBand="1"/>
      </w:tblPr>
      <w:tblGrid>
        <w:gridCol w:w="7890"/>
        <w:gridCol w:w="849"/>
      </w:tblGrid>
      <w:tr w:rsidR="00F85ED8" w:rsidRPr="00007C4E" w14:paraId="5C11A52B" w14:textId="77777777" w:rsidTr="00007C4E">
        <w:tc>
          <w:tcPr>
            <w:tcW w:w="8755" w:type="dxa"/>
            <w:gridSpan w:val="2"/>
            <w:shd w:val="clear" w:color="auto" w:fill="auto"/>
          </w:tcPr>
          <w:p w14:paraId="41C38E03" w14:textId="77777777" w:rsidR="00F85ED8" w:rsidRPr="00007C4E" w:rsidRDefault="00F85ED8" w:rsidP="00007C4E">
            <w:pPr>
              <w:tabs>
                <w:tab w:val="left" w:pos="851"/>
                <w:tab w:val="right" w:pos="8505"/>
              </w:tabs>
              <w:jc w:val="both"/>
              <w:rPr>
                <w:u w:val="single"/>
              </w:rPr>
            </w:pPr>
            <w:r>
              <w:rPr>
                <w:u w:val="single"/>
              </w:rPr>
              <w:t xml:space="preserve">Tuesday, 2 and Wednesday, 3 March  </w:t>
            </w:r>
          </w:p>
          <w:p w14:paraId="062BDEDE" w14:textId="77777777" w:rsidR="00F85ED8" w:rsidRDefault="00F85ED8" w:rsidP="00007C4E">
            <w:pPr>
              <w:pStyle w:val="Title"/>
              <w:jc w:val="left"/>
            </w:pPr>
          </w:p>
        </w:tc>
      </w:tr>
      <w:tr w:rsidR="00F85ED8" w14:paraId="7073C548" w14:textId="77777777" w:rsidTr="00007C4E">
        <w:tc>
          <w:tcPr>
            <w:tcW w:w="7905" w:type="dxa"/>
            <w:shd w:val="clear" w:color="auto" w:fill="auto"/>
          </w:tcPr>
          <w:p w14:paraId="2BFA3724" w14:textId="77777777" w:rsidR="00F85ED8" w:rsidRPr="00913869" w:rsidRDefault="00F85ED8" w:rsidP="00913869">
            <w:pPr>
              <w:numPr>
                <w:ilvl w:val="0"/>
                <w:numId w:val="9"/>
              </w:numPr>
              <w:ind w:hanging="720"/>
            </w:pPr>
            <w:r w:rsidRPr="00145770">
              <w:rPr>
                <w:noProof/>
              </w:rPr>
              <w:t xml:space="preserve">LibertyWorks </w:t>
            </w:r>
            <w:proofErr w:type="gramStart"/>
            <w:r w:rsidRPr="00145770">
              <w:rPr>
                <w:noProof/>
              </w:rPr>
              <w:t>Ltd</w:t>
            </w:r>
            <w:r w:rsidRPr="00007C4E">
              <w:t xml:space="preserve">  v</w:t>
            </w:r>
            <w:proofErr w:type="gramEnd"/>
            <w:r w:rsidRPr="00007C4E">
              <w:t xml:space="preserve">  </w:t>
            </w:r>
            <w:r w:rsidRPr="00145770">
              <w:rPr>
                <w:noProof/>
              </w:rPr>
              <w:t>Commonwealth of Australia</w:t>
            </w:r>
          </w:p>
        </w:tc>
        <w:tc>
          <w:tcPr>
            <w:tcW w:w="850" w:type="dxa"/>
            <w:shd w:val="clear" w:color="auto" w:fill="auto"/>
          </w:tcPr>
          <w:p w14:paraId="392235B9" w14:textId="77777777" w:rsidR="00F85ED8" w:rsidRPr="00F85ED8" w:rsidRDefault="00F85ED8" w:rsidP="00F85ED8">
            <w:pPr>
              <w:pStyle w:val="Title"/>
              <w:rPr>
                <w:u w:val="none"/>
              </w:rPr>
            </w:pPr>
            <w:r w:rsidRPr="00F85ED8">
              <w:rPr>
                <w:u w:val="none"/>
              </w:rPr>
              <w:t>1</w:t>
            </w:r>
          </w:p>
        </w:tc>
      </w:tr>
    </w:tbl>
    <w:p w14:paraId="24645B83" w14:textId="77777777" w:rsidR="00F85ED8" w:rsidRDefault="00F85ED8" w:rsidP="00913869"/>
    <w:p w14:paraId="391769E9" w14:textId="77777777" w:rsidR="00F85ED8" w:rsidRDefault="00F85ED8" w:rsidP="00913869"/>
    <w:tbl>
      <w:tblPr>
        <w:tblW w:w="0" w:type="auto"/>
        <w:tblLook w:val="04A0" w:firstRow="1" w:lastRow="0" w:firstColumn="1" w:lastColumn="0" w:noHBand="0" w:noVBand="1"/>
      </w:tblPr>
      <w:tblGrid>
        <w:gridCol w:w="7890"/>
        <w:gridCol w:w="849"/>
      </w:tblGrid>
      <w:tr w:rsidR="00F85ED8" w:rsidRPr="00007C4E" w14:paraId="0112E7C1" w14:textId="77777777" w:rsidTr="00007C4E">
        <w:tc>
          <w:tcPr>
            <w:tcW w:w="8755" w:type="dxa"/>
            <w:gridSpan w:val="2"/>
            <w:shd w:val="clear" w:color="auto" w:fill="auto"/>
          </w:tcPr>
          <w:p w14:paraId="5246E7C2" w14:textId="77777777" w:rsidR="00F85ED8" w:rsidRPr="00007C4E" w:rsidRDefault="00F85ED8" w:rsidP="00007C4E">
            <w:pPr>
              <w:tabs>
                <w:tab w:val="left" w:pos="851"/>
                <w:tab w:val="right" w:pos="8505"/>
              </w:tabs>
              <w:jc w:val="both"/>
              <w:rPr>
                <w:u w:val="single"/>
              </w:rPr>
            </w:pPr>
            <w:r>
              <w:rPr>
                <w:u w:val="single"/>
              </w:rPr>
              <w:t xml:space="preserve">Thursday, 4 March </w:t>
            </w:r>
          </w:p>
          <w:p w14:paraId="0535EEB2" w14:textId="77777777" w:rsidR="00F85ED8" w:rsidRDefault="00F85ED8" w:rsidP="00007C4E">
            <w:pPr>
              <w:pStyle w:val="Title"/>
              <w:jc w:val="left"/>
            </w:pPr>
          </w:p>
        </w:tc>
      </w:tr>
      <w:tr w:rsidR="00F85ED8" w14:paraId="4991356B" w14:textId="77777777" w:rsidTr="00007C4E">
        <w:tc>
          <w:tcPr>
            <w:tcW w:w="7905" w:type="dxa"/>
            <w:shd w:val="clear" w:color="auto" w:fill="auto"/>
          </w:tcPr>
          <w:p w14:paraId="4D51765C" w14:textId="3A3FD6E0" w:rsidR="00F85ED8" w:rsidRPr="00913869" w:rsidRDefault="00F85ED8" w:rsidP="00913869">
            <w:pPr>
              <w:numPr>
                <w:ilvl w:val="0"/>
                <w:numId w:val="9"/>
              </w:numPr>
              <w:ind w:hanging="720"/>
            </w:pPr>
            <w:r w:rsidRPr="00145770">
              <w:rPr>
                <w:noProof/>
              </w:rPr>
              <w:t xml:space="preserve">Matthew Ward Price as Executor of the Estate of Alan Leslie Price (deceased) &amp; </w:t>
            </w:r>
            <w:proofErr w:type="gramStart"/>
            <w:r w:rsidRPr="00145770">
              <w:rPr>
                <w:noProof/>
              </w:rPr>
              <w:t xml:space="preserve">Ors </w:t>
            </w:r>
            <w:r w:rsidRPr="00007C4E">
              <w:t xml:space="preserve"> v</w:t>
            </w:r>
            <w:proofErr w:type="gramEnd"/>
            <w:r w:rsidRPr="00007C4E">
              <w:t xml:space="preserve">  </w:t>
            </w:r>
            <w:r w:rsidRPr="00145770">
              <w:rPr>
                <w:noProof/>
              </w:rPr>
              <w:t xml:space="preserve">Christine Claire Spoor as trustee </w:t>
            </w:r>
            <w:r w:rsidR="00D54CA3">
              <w:rPr>
                <w:noProof/>
              </w:rPr>
              <w:br/>
            </w:r>
            <w:r w:rsidRPr="00145770">
              <w:rPr>
                <w:noProof/>
              </w:rPr>
              <w:t>&amp; Ors</w:t>
            </w:r>
          </w:p>
        </w:tc>
        <w:tc>
          <w:tcPr>
            <w:tcW w:w="850" w:type="dxa"/>
            <w:shd w:val="clear" w:color="auto" w:fill="auto"/>
          </w:tcPr>
          <w:p w14:paraId="49367772" w14:textId="692D6D34" w:rsidR="00F85ED8" w:rsidRPr="00020F4E" w:rsidRDefault="00020F4E" w:rsidP="00020F4E">
            <w:pPr>
              <w:pStyle w:val="Title"/>
              <w:rPr>
                <w:u w:val="none"/>
              </w:rPr>
            </w:pPr>
            <w:r w:rsidRPr="00020F4E">
              <w:rPr>
                <w:u w:val="none"/>
              </w:rPr>
              <w:t>3</w:t>
            </w:r>
          </w:p>
        </w:tc>
      </w:tr>
    </w:tbl>
    <w:p w14:paraId="62BB1E04" w14:textId="77777777" w:rsidR="00F85ED8" w:rsidRDefault="00F85ED8" w:rsidP="00913869"/>
    <w:p w14:paraId="3F7B589E" w14:textId="77777777" w:rsidR="00F85ED8" w:rsidRDefault="00F85ED8" w:rsidP="00913869"/>
    <w:tbl>
      <w:tblPr>
        <w:tblW w:w="0" w:type="auto"/>
        <w:tblLook w:val="04A0" w:firstRow="1" w:lastRow="0" w:firstColumn="1" w:lastColumn="0" w:noHBand="0" w:noVBand="1"/>
      </w:tblPr>
      <w:tblGrid>
        <w:gridCol w:w="7890"/>
        <w:gridCol w:w="849"/>
      </w:tblGrid>
      <w:tr w:rsidR="00F85ED8" w:rsidRPr="00007C4E" w14:paraId="707AC03D" w14:textId="77777777" w:rsidTr="00007C4E">
        <w:tc>
          <w:tcPr>
            <w:tcW w:w="8755" w:type="dxa"/>
            <w:gridSpan w:val="2"/>
            <w:shd w:val="clear" w:color="auto" w:fill="auto"/>
          </w:tcPr>
          <w:p w14:paraId="7A038514" w14:textId="77777777" w:rsidR="00F85ED8" w:rsidRPr="00007C4E" w:rsidRDefault="00F85ED8" w:rsidP="00007C4E">
            <w:pPr>
              <w:tabs>
                <w:tab w:val="left" w:pos="851"/>
                <w:tab w:val="right" w:pos="8505"/>
              </w:tabs>
              <w:jc w:val="both"/>
              <w:rPr>
                <w:u w:val="single"/>
              </w:rPr>
            </w:pPr>
            <w:r>
              <w:rPr>
                <w:u w:val="single"/>
              </w:rPr>
              <w:t>Friday, 5 March</w:t>
            </w:r>
          </w:p>
          <w:p w14:paraId="74154EBE" w14:textId="77777777" w:rsidR="00F85ED8" w:rsidRDefault="00F85ED8" w:rsidP="00007C4E">
            <w:pPr>
              <w:pStyle w:val="Title"/>
              <w:jc w:val="left"/>
            </w:pPr>
          </w:p>
        </w:tc>
      </w:tr>
      <w:tr w:rsidR="00F85ED8" w14:paraId="59F138F1" w14:textId="77777777" w:rsidTr="00007C4E">
        <w:tc>
          <w:tcPr>
            <w:tcW w:w="7905" w:type="dxa"/>
            <w:shd w:val="clear" w:color="auto" w:fill="auto"/>
          </w:tcPr>
          <w:p w14:paraId="302DCFAF" w14:textId="3E231848" w:rsidR="00F85ED8" w:rsidRPr="00913869" w:rsidRDefault="00F85ED8" w:rsidP="00913869">
            <w:pPr>
              <w:numPr>
                <w:ilvl w:val="0"/>
                <w:numId w:val="9"/>
              </w:numPr>
              <w:ind w:hanging="720"/>
            </w:pPr>
            <w:proofErr w:type="gramStart"/>
            <w:r w:rsidRPr="00145770">
              <w:rPr>
                <w:noProof/>
              </w:rPr>
              <w:t>MZAPC</w:t>
            </w:r>
            <w:r w:rsidRPr="00007C4E">
              <w:t xml:space="preserve">  v</w:t>
            </w:r>
            <w:proofErr w:type="gramEnd"/>
            <w:r w:rsidRPr="00007C4E">
              <w:t xml:space="preserve">  </w:t>
            </w:r>
            <w:r w:rsidRPr="00145770">
              <w:rPr>
                <w:noProof/>
              </w:rPr>
              <w:t xml:space="preserve">Minister for Immigration and Border Protection </w:t>
            </w:r>
            <w:r w:rsidR="00D54CA3">
              <w:rPr>
                <w:noProof/>
              </w:rPr>
              <w:br/>
            </w:r>
            <w:r w:rsidRPr="00145770">
              <w:rPr>
                <w:noProof/>
              </w:rPr>
              <w:t>&amp; Anor</w:t>
            </w:r>
          </w:p>
        </w:tc>
        <w:tc>
          <w:tcPr>
            <w:tcW w:w="850" w:type="dxa"/>
            <w:shd w:val="clear" w:color="auto" w:fill="auto"/>
          </w:tcPr>
          <w:p w14:paraId="68853939" w14:textId="6A2BC20A" w:rsidR="00F85ED8" w:rsidRPr="00EB5414" w:rsidRDefault="00EB5414" w:rsidP="00EB5414">
            <w:pPr>
              <w:pStyle w:val="Title"/>
              <w:rPr>
                <w:u w:val="none"/>
              </w:rPr>
            </w:pPr>
            <w:r w:rsidRPr="00EB5414">
              <w:rPr>
                <w:u w:val="none"/>
              </w:rPr>
              <w:t>5</w:t>
            </w:r>
          </w:p>
        </w:tc>
      </w:tr>
    </w:tbl>
    <w:p w14:paraId="16224B59" w14:textId="77777777" w:rsidR="00F85ED8" w:rsidRDefault="00F85ED8" w:rsidP="00913869"/>
    <w:p w14:paraId="3CB147FC" w14:textId="77777777" w:rsidR="00F85ED8" w:rsidRDefault="00F85ED8" w:rsidP="00913869"/>
    <w:tbl>
      <w:tblPr>
        <w:tblW w:w="0" w:type="auto"/>
        <w:tblLook w:val="04A0" w:firstRow="1" w:lastRow="0" w:firstColumn="1" w:lastColumn="0" w:noHBand="0" w:noVBand="1"/>
      </w:tblPr>
      <w:tblGrid>
        <w:gridCol w:w="7890"/>
        <w:gridCol w:w="849"/>
      </w:tblGrid>
      <w:tr w:rsidR="00F85ED8" w:rsidRPr="00007C4E" w14:paraId="18DAED91" w14:textId="77777777" w:rsidTr="00007C4E">
        <w:tc>
          <w:tcPr>
            <w:tcW w:w="8755" w:type="dxa"/>
            <w:gridSpan w:val="2"/>
            <w:shd w:val="clear" w:color="auto" w:fill="auto"/>
          </w:tcPr>
          <w:p w14:paraId="7823604A" w14:textId="77777777" w:rsidR="00F85ED8" w:rsidRPr="00007C4E" w:rsidRDefault="00F85ED8" w:rsidP="00007C4E">
            <w:pPr>
              <w:tabs>
                <w:tab w:val="left" w:pos="851"/>
                <w:tab w:val="right" w:pos="8505"/>
              </w:tabs>
              <w:jc w:val="both"/>
              <w:rPr>
                <w:u w:val="single"/>
              </w:rPr>
            </w:pPr>
            <w:r>
              <w:rPr>
                <w:u w:val="single"/>
              </w:rPr>
              <w:t>Wednesday, 10 March</w:t>
            </w:r>
          </w:p>
          <w:p w14:paraId="0031FD9C" w14:textId="77777777" w:rsidR="00F85ED8" w:rsidRDefault="00F85ED8" w:rsidP="00007C4E">
            <w:pPr>
              <w:pStyle w:val="Title"/>
              <w:jc w:val="left"/>
            </w:pPr>
          </w:p>
        </w:tc>
      </w:tr>
      <w:tr w:rsidR="00F85ED8" w14:paraId="2AB1E264" w14:textId="77777777" w:rsidTr="00007C4E">
        <w:tc>
          <w:tcPr>
            <w:tcW w:w="7905" w:type="dxa"/>
            <w:shd w:val="clear" w:color="auto" w:fill="auto"/>
          </w:tcPr>
          <w:p w14:paraId="21D88761" w14:textId="77777777" w:rsidR="00F85ED8" w:rsidRPr="00913869" w:rsidRDefault="00F85ED8" w:rsidP="00913869">
            <w:pPr>
              <w:numPr>
                <w:ilvl w:val="0"/>
                <w:numId w:val="9"/>
              </w:numPr>
              <w:ind w:hanging="720"/>
            </w:pPr>
            <w:proofErr w:type="gramStart"/>
            <w:r w:rsidRPr="00145770">
              <w:rPr>
                <w:noProof/>
              </w:rPr>
              <w:t>Talacko</w:t>
            </w:r>
            <w:r w:rsidRPr="00007C4E">
              <w:t xml:space="preserve">  v</w:t>
            </w:r>
            <w:proofErr w:type="gramEnd"/>
            <w:r w:rsidRPr="00007C4E">
              <w:t xml:space="preserve">  </w:t>
            </w:r>
            <w:r w:rsidRPr="00145770">
              <w:rPr>
                <w:noProof/>
              </w:rPr>
              <w:t>Talacko &amp; Ors</w:t>
            </w:r>
          </w:p>
        </w:tc>
        <w:tc>
          <w:tcPr>
            <w:tcW w:w="850" w:type="dxa"/>
            <w:shd w:val="clear" w:color="auto" w:fill="auto"/>
          </w:tcPr>
          <w:p w14:paraId="0ACE62D3" w14:textId="0FBFF2B6" w:rsidR="00F85ED8" w:rsidRPr="00A125AB" w:rsidRDefault="00A125AB" w:rsidP="00A125AB">
            <w:pPr>
              <w:pStyle w:val="Title"/>
              <w:rPr>
                <w:u w:val="none"/>
              </w:rPr>
            </w:pPr>
            <w:r w:rsidRPr="00A125AB">
              <w:rPr>
                <w:u w:val="none"/>
              </w:rPr>
              <w:t>7</w:t>
            </w:r>
          </w:p>
        </w:tc>
      </w:tr>
    </w:tbl>
    <w:p w14:paraId="0546D07A" w14:textId="77777777" w:rsidR="00F85ED8" w:rsidRDefault="00F85ED8" w:rsidP="00913869"/>
    <w:p w14:paraId="08B88A00" w14:textId="77777777" w:rsidR="00F85ED8" w:rsidRDefault="00F85ED8" w:rsidP="00913869"/>
    <w:tbl>
      <w:tblPr>
        <w:tblW w:w="0" w:type="auto"/>
        <w:tblLook w:val="04A0" w:firstRow="1" w:lastRow="0" w:firstColumn="1" w:lastColumn="0" w:noHBand="0" w:noVBand="1"/>
      </w:tblPr>
      <w:tblGrid>
        <w:gridCol w:w="7890"/>
        <w:gridCol w:w="849"/>
      </w:tblGrid>
      <w:tr w:rsidR="00F85ED8" w:rsidRPr="00007C4E" w14:paraId="28FBD1B8" w14:textId="77777777" w:rsidTr="00007C4E">
        <w:tc>
          <w:tcPr>
            <w:tcW w:w="8755" w:type="dxa"/>
            <w:gridSpan w:val="2"/>
            <w:shd w:val="clear" w:color="auto" w:fill="auto"/>
          </w:tcPr>
          <w:p w14:paraId="2A92E5E3" w14:textId="77777777" w:rsidR="00F85ED8" w:rsidRPr="00007C4E" w:rsidRDefault="00F85ED8" w:rsidP="00007C4E">
            <w:pPr>
              <w:tabs>
                <w:tab w:val="left" w:pos="851"/>
                <w:tab w:val="right" w:pos="8505"/>
              </w:tabs>
              <w:jc w:val="both"/>
              <w:rPr>
                <w:u w:val="single"/>
              </w:rPr>
            </w:pPr>
            <w:r>
              <w:rPr>
                <w:u w:val="single"/>
              </w:rPr>
              <w:t>Thursday, 11 March</w:t>
            </w:r>
          </w:p>
          <w:p w14:paraId="6089FEAB" w14:textId="77777777" w:rsidR="00F85ED8" w:rsidRDefault="00F85ED8" w:rsidP="00007C4E">
            <w:pPr>
              <w:pStyle w:val="Title"/>
              <w:jc w:val="left"/>
            </w:pPr>
          </w:p>
        </w:tc>
      </w:tr>
      <w:tr w:rsidR="00F85ED8" w14:paraId="1E786B76" w14:textId="77777777" w:rsidTr="00007C4E">
        <w:tc>
          <w:tcPr>
            <w:tcW w:w="7905" w:type="dxa"/>
            <w:shd w:val="clear" w:color="auto" w:fill="auto"/>
          </w:tcPr>
          <w:p w14:paraId="5FA95363" w14:textId="77777777" w:rsidR="00F85ED8" w:rsidRPr="00913869" w:rsidRDefault="00F85ED8" w:rsidP="00913869">
            <w:pPr>
              <w:numPr>
                <w:ilvl w:val="0"/>
                <w:numId w:val="9"/>
              </w:numPr>
              <w:ind w:hanging="720"/>
            </w:pPr>
            <w:proofErr w:type="gramStart"/>
            <w:r w:rsidRPr="00145770">
              <w:rPr>
                <w:noProof/>
              </w:rPr>
              <w:t>Namoa</w:t>
            </w:r>
            <w:r w:rsidRPr="00007C4E">
              <w:t xml:space="preserve">  </w:t>
            </w:r>
            <w:r>
              <w:t>v</w:t>
            </w:r>
            <w:proofErr w:type="gramEnd"/>
            <w:r w:rsidRPr="00007C4E">
              <w:t xml:space="preserve">  </w:t>
            </w:r>
            <w:r w:rsidRPr="00145770">
              <w:rPr>
                <w:noProof/>
              </w:rPr>
              <w:t>The Queen</w:t>
            </w:r>
          </w:p>
        </w:tc>
        <w:tc>
          <w:tcPr>
            <w:tcW w:w="850" w:type="dxa"/>
            <w:shd w:val="clear" w:color="auto" w:fill="auto"/>
          </w:tcPr>
          <w:p w14:paraId="7DF0EB1B" w14:textId="4A6A797E" w:rsidR="00F85ED8" w:rsidRPr="001D63AD" w:rsidRDefault="001D63AD" w:rsidP="001D63AD">
            <w:pPr>
              <w:pStyle w:val="Title"/>
              <w:rPr>
                <w:u w:val="none"/>
              </w:rPr>
            </w:pPr>
            <w:r w:rsidRPr="001D63AD">
              <w:rPr>
                <w:u w:val="none"/>
              </w:rPr>
              <w:t>9</w:t>
            </w:r>
          </w:p>
        </w:tc>
      </w:tr>
    </w:tbl>
    <w:p w14:paraId="0CBF6310" w14:textId="77777777" w:rsidR="00F85ED8" w:rsidRDefault="00F85ED8" w:rsidP="00913869"/>
    <w:p w14:paraId="25482472" w14:textId="77777777" w:rsidR="00F85ED8" w:rsidRDefault="00F85ED8" w:rsidP="00913869"/>
    <w:p w14:paraId="5BAAF5C4" w14:textId="77777777" w:rsidR="00F85ED8" w:rsidRDefault="00F85ED8" w:rsidP="00F85ED8">
      <w:pPr>
        <w:tabs>
          <w:tab w:val="left" w:pos="851"/>
          <w:tab w:val="right" w:pos="8505"/>
        </w:tabs>
        <w:jc w:val="center"/>
      </w:pPr>
      <w:r>
        <w:t>********************</w:t>
      </w:r>
    </w:p>
    <w:p w14:paraId="6F5F6B99" w14:textId="488491E0" w:rsidR="00020F4E" w:rsidRPr="00881CEA" w:rsidRDefault="00F85ED8" w:rsidP="00020F4E">
      <w:pPr>
        <w:pStyle w:val="NoSpacing"/>
        <w:rPr>
          <w:rFonts w:ascii="Arial" w:eastAsia="Times New Roman" w:hAnsi="Arial" w:cs="Arial"/>
          <w:b/>
          <w:color w:val="000000"/>
          <w:sz w:val="24"/>
          <w:szCs w:val="24"/>
          <w:u w:val="single"/>
          <w:lang w:eastAsia="en-AU"/>
        </w:rPr>
      </w:pPr>
      <w:r>
        <w:br w:type="page"/>
      </w:r>
      <w:r w:rsidR="00020F4E" w:rsidRPr="00881CEA">
        <w:rPr>
          <w:rFonts w:ascii="Arial" w:eastAsia="Times New Roman" w:hAnsi="Arial" w:cs="Arial"/>
          <w:b/>
          <w:color w:val="000000"/>
          <w:sz w:val="24"/>
          <w:szCs w:val="24"/>
          <w:u w:val="single"/>
          <w:lang w:eastAsia="en-AU"/>
        </w:rPr>
        <w:lastRenderedPageBreak/>
        <w:t xml:space="preserve">LIBERTYWORKS INC v COMMONWEALTH OF </w:t>
      </w:r>
      <w:proofErr w:type="gramStart"/>
      <w:r w:rsidR="00020F4E" w:rsidRPr="00881CEA">
        <w:rPr>
          <w:rFonts w:ascii="Arial" w:eastAsia="Times New Roman" w:hAnsi="Arial" w:cs="Arial"/>
          <w:b/>
          <w:color w:val="000000"/>
          <w:sz w:val="24"/>
          <w:szCs w:val="24"/>
          <w:u w:val="single"/>
          <w:lang w:eastAsia="en-AU"/>
        </w:rPr>
        <w:t>AUSTRALIA</w:t>
      </w:r>
      <w:r w:rsidR="00020F4E" w:rsidRPr="00881CEA">
        <w:rPr>
          <w:rFonts w:ascii="Arial" w:eastAsia="Times New Roman" w:hAnsi="Arial" w:cs="Arial"/>
          <w:b/>
          <w:color w:val="000000"/>
          <w:sz w:val="24"/>
          <w:szCs w:val="24"/>
          <w:lang w:eastAsia="en-AU"/>
        </w:rPr>
        <w:t xml:space="preserve"> </w:t>
      </w:r>
      <w:r w:rsidR="00F87D0E">
        <w:rPr>
          <w:rFonts w:ascii="Arial" w:eastAsia="Times New Roman" w:hAnsi="Arial" w:cs="Arial"/>
          <w:b/>
          <w:color w:val="000000"/>
          <w:sz w:val="24"/>
          <w:szCs w:val="24"/>
          <w:lang w:eastAsia="en-AU"/>
        </w:rPr>
        <w:t xml:space="preserve"> </w:t>
      </w:r>
      <w:r w:rsidR="00020F4E" w:rsidRPr="00881CEA">
        <w:rPr>
          <w:rFonts w:ascii="Arial" w:eastAsia="Times New Roman" w:hAnsi="Arial" w:cs="Arial"/>
          <w:b/>
          <w:color w:val="000000"/>
          <w:sz w:val="24"/>
          <w:szCs w:val="24"/>
          <w:lang w:eastAsia="en-AU"/>
        </w:rPr>
        <w:t>(</w:t>
      </w:r>
      <w:proofErr w:type="gramEnd"/>
      <w:r w:rsidR="00020F4E" w:rsidRPr="00881CEA">
        <w:rPr>
          <w:rFonts w:ascii="Arial" w:eastAsia="Times New Roman" w:hAnsi="Arial" w:cs="Arial"/>
          <w:b/>
          <w:color w:val="000000"/>
          <w:sz w:val="24"/>
          <w:szCs w:val="24"/>
          <w:lang w:eastAsia="en-AU"/>
        </w:rPr>
        <w:t>S10/2020)</w:t>
      </w:r>
    </w:p>
    <w:p w14:paraId="3AAFD27B" w14:textId="77777777" w:rsidR="00020F4E" w:rsidRPr="00A920AB" w:rsidRDefault="00020F4E" w:rsidP="00020F4E">
      <w:pPr>
        <w:ind w:left="2694" w:hanging="2694"/>
        <w:rPr>
          <w:rFonts w:cs="Arial"/>
          <w:szCs w:val="24"/>
        </w:rPr>
      </w:pPr>
    </w:p>
    <w:p w14:paraId="062A82F1" w14:textId="77777777" w:rsidR="00020F4E" w:rsidRPr="006A1C3E" w:rsidRDefault="00020F4E" w:rsidP="00020F4E">
      <w:pPr>
        <w:ind w:left="4962" w:hanging="4962"/>
        <w:rPr>
          <w:rFonts w:cs="Arial"/>
          <w:szCs w:val="24"/>
        </w:rPr>
      </w:pPr>
      <w:r>
        <w:rPr>
          <w:rFonts w:cs="Arial"/>
          <w:szCs w:val="24"/>
          <w:u w:val="single"/>
        </w:rPr>
        <w:t>Date writ of summons filed</w:t>
      </w:r>
      <w:r w:rsidRPr="006A1C3E">
        <w:rPr>
          <w:rFonts w:cs="Arial"/>
          <w:szCs w:val="24"/>
        </w:rPr>
        <w:t>:</w:t>
      </w:r>
      <w:r w:rsidRPr="006A1C3E">
        <w:rPr>
          <w:rFonts w:cs="Arial"/>
          <w:szCs w:val="24"/>
        </w:rPr>
        <w:tab/>
      </w:r>
      <w:r>
        <w:rPr>
          <w:rFonts w:cs="Arial"/>
          <w:szCs w:val="24"/>
        </w:rPr>
        <w:t>7 February 2020</w:t>
      </w:r>
    </w:p>
    <w:p w14:paraId="27EE0B41" w14:textId="77777777" w:rsidR="00020F4E" w:rsidRPr="006A1C3E" w:rsidRDefault="00020F4E" w:rsidP="00020F4E">
      <w:pPr>
        <w:ind w:left="2694" w:hanging="2694"/>
        <w:rPr>
          <w:rFonts w:cs="Arial"/>
          <w:szCs w:val="24"/>
        </w:rPr>
      </w:pPr>
    </w:p>
    <w:p w14:paraId="29D5599F" w14:textId="77777777" w:rsidR="00F87D0E" w:rsidRDefault="00020F4E" w:rsidP="00F87D0E">
      <w:pPr>
        <w:ind w:left="4962" w:hanging="4962"/>
        <w:rPr>
          <w:rFonts w:cs="Arial"/>
          <w:szCs w:val="24"/>
        </w:rPr>
      </w:pPr>
      <w:r>
        <w:rPr>
          <w:rFonts w:cs="Arial"/>
          <w:szCs w:val="24"/>
          <w:u w:val="single"/>
        </w:rPr>
        <w:t>Date special case referred to Full Court</w:t>
      </w:r>
      <w:r w:rsidRPr="006A1C3E">
        <w:rPr>
          <w:rFonts w:cs="Arial"/>
          <w:szCs w:val="24"/>
        </w:rPr>
        <w:t>:</w:t>
      </w:r>
      <w:r>
        <w:rPr>
          <w:rFonts w:cs="Arial"/>
          <w:szCs w:val="24"/>
        </w:rPr>
        <w:tab/>
        <w:t>20 August 2020</w:t>
      </w:r>
      <w:bookmarkStart w:id="0" w:name="Heading133"/>
      <w:bookmarkEnd w:id="0"/>
    </w:p>
    <w:p w14:paraId="2640BA76" w14:textId="77777777" w:rsidR="00F87D0E" w:rsidRDefault="00F87D0E" w:rsidP="00F87D0E">
      <w:pPr>
        <w:ind w:left="4962" w:hanging="4962"/>
        <w:rPr>
          <w:rFonts w:cs="Arial"/>
          <w:szCs w:val="24"/>
        </w:rPr>
      </w:pPr>
    </w:p>
    <w:p w14:paraId="02777C30" w14:textId="77777777" w:rsidR="00F87D0E" w:rsidRDefault="00020F4E" w:rsidP="00F87D0E">
      <w:pPr>
        <w:jc w:val="both"/>
        <w:rPr>
          <w:rFonts w:cs="Arial"/>
          <w:szCs w:val="24"/>
        </w:rPr>
      </w:pPr>
      <w:r>
        <w:rPr>
          <w:rFonts w:cs="Arial"/>
          <w:szCs w:val="24"/>
        </w:rPr>
        <w:t xml:space="preserve">On 10 December 2018, the </w:t>
      </w:r>
      <w:r>
        <w:rPr>
          <w:rFonts w:cs="Arial"/>
          <w:i/>
          <w:szCs w:val="24"/>
        </w:rPr>
        <w:t xml:space="preserve">Foreign Influence Transparency Scheme Act 2018 </w:t>
      </w:r>
      <w:r>
        <w:rPr>
          <w:rFonts w:cs="Arial"/>
          <w:szCs w:val="24"/>
        </w:rPr>
        <w:t>(</w:t>
      </w:r>
      <w:proofErr w:type="spellStart"/>
      <w:r>
        <w:rPr>
          <w:rFonts w:cs="Arial"/>
          <w:szCs w:val="24"/>
        </w:rPr>
        <w:t>Cth</w:t>
      </w:r>
      <w:proofErr w:type="spellEnd"/>
      <w:r>
        <w:rPr>
          <w:rFonts w:cs="Arial"/>
          <w:szCs w:val="24"/>
        </w:rPr>
        <w:t>) (“the Act”) came into force.  Pursuant to s</w:t>
      </w:r>
      <w:r>
        <w:rPr>
          <w:rFonts w:cs="Arial"/>
          <w:iCs/>
          <w:szCs w:val="24"/>
        </w:rPr>
        <w:t> </w:t>
      </w:r>
      <w:r>
        <w:rPr>
          <w:rFonts w:cs="Arial"/>
          <w:szCs w:val="24"/>
        </w:rPr>
        <w:t>3 of the Act, the object of the Act is to provide for a scheme for the registration of persons who undertake certain activities (including, pursuant to ss</w:t>
      </w:r>
      <w:r>
        <w:rPr>
          <w:rFonts w:cs="Arial"/>
          <w:iCs/>
          <w:szCs w:val="24"/>
        </w:rPr>
        <w:t> </w:t>
      </w:r>
      <w:r>
        <w:rPr>
          <w:rFonts w:cs="Arial"/>
          <w:szCs w:val="24"/>
        </w:rPr>
        <w:t>10, 20 and 21 of the Act, political lobbying, political communication and politically related payments) on behalf of foreign governments and other foreign principals in order to improve the transparency of their activities on behalf of those foreign principals.</w:t>
      </w:r>
    </w:p>
    <w:p w14:paraId="11056285" w14:textId="77777777" w:rsidR="00F87D0E" w:rsidRDefault="00F87D0E" w:rsidP="00F87D0E">
      <w:pPr>
        <w:jc w:val="both"/>
        <w:rPr>
          <w:rFonts w:cs="Arial"/>
          <w:szCs w:val="24"/>
        </w:rPr>
      </w:pPr>
    </w:p>
    <w:p w14:paraId="0994494C" w14:textId="77777777" w:rsidR="00F87D0E" w:rsidRDefault="00020F4E" w:rsidP="00F87D0E">
      <w:pPr>
        <w:jc w:val="both"/>
        <w:rPr>
          <w:rFonts w:cs="Arial"/>
          <w:szCs w:val="24"/>
        </w:rPr>
      </w:pPr>
      <w:r>
        <w:rPr>
          <w:rFonts w:cs="Arial"/>
          <w:szCs w:val="24"/>
        </w:rPr>
        <w:t xml:space="preserve">The Plaintiff is a private think tank incorporated in Queensland.  It aims to move public policy in the direction of increased individual rights and freedoms (including the promotion of freedom of speech and political communication) and to advocate for drastic reductions in governmental control over all individuals’ personal and economic lives.  The American Conservative Union (“ACU”) is an American corporation established for the promotion of political freedom and for the purpose of influencing politics and politicians in the United States of America (“USA”).  Among other things, the ACU annually </w:t>
      </w:r>
      <w:proofErr w:type="spellStart"/>
      <w:r>
        <w:rPr>
          <w:rFonts w:cs="Arial"/>
          <w:szCs w:val="24"/>
        </w:rPr>
        <w:t>organises</w:t>
      </w:r>
      <w:proofErr w:type="spellEnd"/>
      <w:r>
        <w:rPr>
          <w:rFonts w:cs="Arial"/>
          <w:szCs w:val="24"/>
        </w:rPr>
        <w:t xml:space="preserve"> and hosts a multi-day political conference in the USA known as the Conservative Political Action Conference (“CPAC”).</w:t>
      </w:r>
    </w:p>
    <w:p w14:paraId="7F69C8AF" w14:textId="77777777" w:rsidR="00F87D0E" w:rsidRDefault="00F87D0E" w:rsidP="00F87D0E">
      <w:pPr>
        <w:jc w:val="both"/>
        <w:rPr>
          <w:rFonts w:cs="Arial"/>
          <w:szCs w:val="24"/>
        </w:rPr>
      </w:pPr>
    </w:p>
    <w:p w14:paraId="6A231DC0" w14:textId="77777777" w:rsidR="00F87D0E" w:rsidRDefault="00020F4E" w:rsidP="00F87D0E">
      <w:pPr>
        <w:jc w:val="both"/>
        <w:rPr>
          <w:rFonts w:cs="Arial"/>
          <w:szCs w:val="24"/>
        </w:rPr>
      </w:pPr>
      <w:r>
        <w:rPr>
          <w:rFonts w:cs="Arial"/>
          <w:szCs w:val="24"/>
        </w:rPr>
        <w:t xml:space="preserve">In October 2018 an agreement was reached between the Plaintiff’s president and the executive director of the ACU concerning the holding of a CPAC event in Australia.  From 9 to 11 </w:t>
      </w:r>
      <w:r w:rsidRPr="003817A9">
        <w:rPr>
          <w:rFonts w:cs="Arial"/>
          <w:szCs w:val="24"/>
        </w:rPr>
        <w:t xml:space="preserve">August 2019 the CPAC event was held in Sydney (“the Conference”). </w:t>
      </w:r>
      <w:r>
        <w:rPr>
          <w:rFonts w:cs="Arial"/>
          <w:szCs w:val="24"/>
        </w:rPr>
        <w:t xml:space="preserve"> </w:t>
      </w:r>
      <w:r w:rsidRPr="003817A9">
        <w:rPr>
          <w:rFonts w:cs="Arial"/>
          <w:szCs w:val="24"/>
        </w:rPr>
        <w:t>The Conference was promoted throughout Australia and</w:t>
      </w:r>
      <w:r>
        <w:rPr>
          <w:rFonts w:cs="Arial"/>
          <w:szCs w:val="24"/>
        </w:rPr>
        <w:t xml:space="preserve"> was</w:t>
      </w:r>
      <w:r w:rsidRPr="003817A9">
        <w:rPr>
          <w:rFonts w:cs="Arial"/>
          <w:szCs w:val="24"/>
        </w:rPr>
        <w:t xml:space="preserve"> attended by persons from several States as well as members of the ACU.</w:t>
      </w:r>
      <w:r>
        <w:rPr>
          <w:rFonts w:cs="Arial"/>
          <w:szCs w:val="24"/>
        </w:rPr>
        <w:t xml:space="preserve"> </w:t>
      </w:r>
    </w:p>
    <w:p w14:paraId="0FB98DC9" w14:textId="77777777" w:rsidR="00F87D0E" w:rsidRDefault="00F87D0E" w:rsidP="00F87D0E">
      <w:pPr>
        <w:jc w:val="both"/>
        <w:rPr>
          <w:rFonts w:cs="Arial"/>
          <w:szCs w:val="24"/>
        </w:rPr>
      </w:pPr>
    </w:p>
    <w:p w14:paraId="2A1648A6" w14:textId="77777777" w:rsidR="00F87D0E" w:rsidRDefault="00020F4E" w:rsidP="00F87D0E">
      <w:pPr>
        <w:jc w:val="both"/>
        <w:rPr>
          <w:rFonts w:cs="Arial"/>
          <w:szCs w:val="24"/>
        </w:rPr>
      </w:pPr>
      <w:r>
        <w:rPr>
          <w:rFonts w:cs="Arial"/>
          <w:szCs w:val="24"/>
        </w:rPr>
        <w:t>On 22 October 2019 an officer of the Commonwealth Attorney-General’s Department sent the Plaintiff a notice under s</w:t>
      </w:r>
      <w:r>
        <w:rPr>
          <w:rFonts w:cs="Arial"/>
          <w:iCs/>
          <w:szCs w:val="24"/>
        </w:rPr>
        <w:t> </w:t>
      </w:r>
      <w:r>
        <w:rPr>
          <w:rFonts w:cs="Arial"/>
          <w:szCs w:val="24"/>
        </w:rPr>
        <w:t xml:space="preserve">45(2) of the Act requiring the Plaintiff to provide information and </w:t>
      </w:r>
      <w:r w:rsidRPr="002B4198">
        <w:rPr>
          <w:rFonts w:cs="Arial"/>
          <w:szCs w:val="24"/>
        </w:rPr>
        <w:t xml:space="preserve">produce copies of documents in relation to the Conference and the ACU to satisfy the Attorney-General’s Department as to whether the Plaintiff </w:t>
      </w:r>
      <w:r>
        <w:rPr>
          <w:rFonts w:cs="Arial"/>
          <w:szCs w:val="24"/>
        </w:rPr>
        <w:t>wa</w:t>
      </w:r>
      <w:r w:rsidRPr="002B4198">
        <w:rPr>
          <w:rFonts w:cs="Arial"/>
          <w:szCs w:val="24"/>
        </w:rPr>
        <w:t>s liable to register under the Act in</w:t>
      </w:r>
      <w:r>
        <w:rPr>
          <w:rFonts w:cs="Arial"/>
          <w:szCs w:val="24"/>
        </w:rPr>
        <w:t xml:space="preserve"> relation to t</w:t>
      </w:r>
      <w:r w:rsidRPr="003817A9">
        <w:rPr>
          <w:rFonts w:cs="Arial"/>
          <w:szCs w:val="24"/>
        </w:rPr>
        <w:t xml:space="preserve">he ACU (“the Notice”). </w:t>
      </w:r>
      <w:r>
        <w:rPr>
          <w:rFonts w:cs="Arial"/>
          <w:szCs w:val="24"/>
        </w:rPr>
        <w:t xml:space="preserve"> The Plaintiff did not comply with the Notice and has not since applied for registration under the Act.</w:t>
      </w:r>
    </w:p>
    <w:p w14:paraId="46E1646F" w14:textId="77777777" w:rsidR="00F87D0E" w:rsidRDefault="00F87D0E" w:rsidP="00F87D0E">
      <w:pPr>
        <w:jc w:val="both"/>
        <w:rPr>
          <w:rFonts w:cs="Arial"/>
          <w:szCs w:val="24"/>
        </w:rPr>
      </w:pPr>
    </w:p>
    <w:p w14:paraId="5FF02AE6" w14:textId="77777777" w:rsidR="00F87D0E" w:rsidRDefault="00020F4E" w:rsidP="00F87D0E">
      <w:pPr>
        <w:jc w:val="both"/>
        <w:rPr>
          <w:rFonts w:cs="Arial"/>
          <w:szCs w:val="24"/>
        </w:rPr>
      </w:pPr>
      <w:r>
        <w:rPr>
          <w:rFonts w:cs="Arial"/>
          <w:szCs w:val="24"/>
        </w:rPr>
        <w:t xml:space="preserve">The Plaintiff commenced proceedings in this Court, seeking declarations that the Act or relevant provisions of the Act are invalid and a permanent injunction restraining the Defendant from taking any </w:t>
      </w:r>
      <w:proofErr w:type="gramStart"/>
      <w:r>
        <w:rPr>
          <w:rFonts w:cs="Arial"/>
          <w:szCs w:val="24"/>
        </w:rPr>
        <w:t>step in</w:t>
      </w:r>
      <w:proofErr w:type="gramEnd"/>
      <w:r>
        <w:rPr>
          <w:rFonts w:cs="Arial"/>
          <w:szCs w:val="24"/>
        </w:rPr>
        <w:t xml:space="preserve"> relation to the Plaintiff’s alleged contravention of s</w:t>
      </w:r>
      <w:r>
        <w:rPr>
          <w:rFonts w:cs="Arial"/>
          <w:iCs/>
          <w:szCs w:val="24"/>
        </w:rPr>
        <w:t> </w:t>
      </w:r>
      <w:r>
        <w:rPr>
          <w:rFonts w:cs="Arial"/>
          <w:szCs w:val="24"/>
        </w:rPr>
        <w:t xml:space="preserve">45 of the Act. </w:t>
      </w:r>
    </w:p>
    <w:p w14:paraId="79ABDDF2" w14:textId="77777777" w:rsidR="00F87D0E" w:rsidRDefault="00F87D0E" w:rsidP="00F87D0E">
      <w:pPr>
        <w:jc w:val="both"/>
        <w:rPr>
          <w:rFonts w:cs="Arial"/>
          <w:szCs w:val="24"/>
        </w:rPr>
      </w:pPr>
    </w:p>
    <w:p w14:paraId="198D44C1" w14:textId="516E925C" w:rsidR="00020F4E" w:rsidRDefault="00020F4E" w:rsidP="00F87D0E">
      <w:pPr>
        <w:jc w:val="both"/>
        <w:rPr>
          <w:rFonts w:cs="Arial"/>
          <w:szCs w:val="24"/>
        </w:rPr>
      </w:pPr>
      <w:r>
        <w:rPr>
          <w:rFonts w:cs="Arial"/>
          <w:szCs w:val="24"/>
        </w:rPr>
        <w:t>The parties filed a Special Case, the questions in which Justice Bell referred for consideration by Full Court. The Special Case states the following questions for the opinion of the Court:</w:t>
      </w:r>
    </w:p>
    <w:p w14:paraId="19F1C098" w14:textId="77777777" w:rsidR="00F87D0E" w:rsidRDefault="00F87D0E" w:rsidP="00F87D0E">
      <w:pPr>
        <w:jc w:val="both"/>
        <w:rPr>
          <w:rFonts w:cs="Arial"/>
          <w:szCs w:val="24"/>
        </w:rPr>
      </w:pPr>
    </w:p>
    <w:p w14:paraId="5B934D38" w14:textId="77777777" w:rsidR="00020F4E" w:rsidRDefault="00020F4E" w:rsidP="00F87D0E">
      <w:pPr>
        <w:numPr>
          <w:ilvl w:val="0"/>
          <w:numId w:val="10"/>
        </w:numPr>
        <w:autoSpaceDE w:val="0"/>
        <w:autoSpaceDN w:val="0"/>
        <w:adjustRightInd w:val="0"/>
        <w:ind w:left="567" w:hanging="567"/>
        <w:jc w:val="both"/>
        <w:rPr>
          <w:rFonts w:cs="Arial"/>
          <w:szCs w:val="24"/>
        </w:rPr>
      </w:pPr>
      <w:r>
        <w:rPr>
          <w:rFonts w:cs="Arial"/>
          <w:szCs w:val="24"/>
        </w:rPr>
        <w:t xml:space="preserve">Is the </w:t>
      </w:r>
      <w:r>
        <w:rPr>
          <w:rFonts w:cs="Arial"/>
          <w:i/>
          <w:szCs w:val="24"/>
        </w:rPr>
        <w:t xml:space="preserve">Foreign Influence Transparency Scheme Act 2018 </w:t>
      </w:r>
      <w:r>
        <w:rPr>
          <w:rFonts w:cs="Arial"/>
          <w:szCs w:val="24"/>
        </w:rPr>
        <w:t>(</w:t>
      </w:r>
      <w:proofErr w:type="spellStart"/>
      <w:r>
        <w:rPr>
          <w:rFonts w:cs="Arial"/>
          <w:szCs w:val="24"/>
        </w:rPr>
        <w:t>Cth</w:t>
      </w:r>
      <w:proofErr w:type="spellEnd"/>
      <w:r>
        <w:rPr>
          <w:rFonts w:cs="Arial"/>
          <w:szCs w:val="24"/>
        </w:rPr>
        <w:t>) invalid, either in whole or in part (and if in part, to what extent), on the ground that it infringes the implied freedom of political communication?</w:t>
      </w:r>
    </w:p>
    <w:p w14:paraId="3D064485" w14:textId="15E07194" w:rsidR="00020F4E" w:rsidRDefault="00020F4E" w:rsidP="00F87D0E">
      <w:pPr>
        <w:autoSpaceDE w:val="0"/>
        <w:autoSpaceDN w:val="0"/>
        <w:adjustRightInd w:val="0"/>
        <w:jc w:val="both"/>
        <w:rPr>
          <w:rFonts w:cs="Arial"/>
          <w:szCs w:val="24"/>
        </w:rPr>
      </w:pPr>
      <w:r>
        <w:rPr>
          <w:rFonts w:cs="Arial"/>
          <w:szCs w:val="24"/>
        </w:rPr>
        <w:br/>
      </w:r>
    </w:p>
    <w:p w14:paraId="347F80BA" w14:textId="77777777" w:rsidR="00020F4E" w:rsidRDefault="00020F4E" w:rsidP="00F87D0E">
      <w:pPr>
        <w:numPr>
          <w:ilvl w:val="0"/>
          <w:numId w:val="10"/>
        </w:numPr>
        <w:autoSpaceDE w:val="0"/>
        <w:autoSpaceDN w:val="0"/>
        <w:adjustRightInd w:val="0"/>
        <w:ind w:left="567" w:hanging="567"/>
        <w:jc w:val="both"/>
        <w:rPr>
          <w:rFonts w:cs="Arial"/>
          <w:szCs w:val="24"/>
        </w:rPr>
      </w:pPr>
      <w:r>
        <w:rPr>
          <w:rFonts w:cs="Arial"/>
          <w:szCs w:val="24"/>
        </w:rPr>
        <w:lastRenderedPageBreak/>
        <w:t xml:space="preserve">Is the </w:t>
      </w:r>
      <w:r>
        <w:rPr>
          <w:rFonts w:cs="Arial"/>
          <w:i/>
          <w:szCs w:val="24"/>
        </w:rPr>
        <w:t xml:space="preserve">Foreign Influence Transparency Scheme Act 2018 </w:t>
      </w:r>
      <w:r>
        <w:rPr>
          <w:rFonts w:cs="Arial"/>
          <w:szCs w:val="24"/>
        </w:rPr>
        <w:t>(</w:t>
      </w:r>
      <w:proofErr w:type="spellStart"/>
      <w:r>
        <w:rPr>
          <w:rFonts w:cs="Arial"/>
          <w:szCs w:val="24"/>
        </w:rPr>
        <w:t>Cth</w:t>
      </w:r>
      <w:proofErr w:type="spellEnd"/>
      <w:r>
        <w:rPr>
          <w:rFonts w:cs="Arial"/>
          <w:szCs w:val="24"/>
        </w:rPr>
        <w:t>) invalid, either in whole or in part (and if in part, to what extent), on the ground that it is contrary to the freedom of interstate intercourse referred to in s</w:t>
      </w:r>
      <w:r>
        <w:rPr>
          <w:rFonts w:cs="Arial"/>
          <w:iCs/>
          <w:szCs w:val="24"/>
        </w:rPr>
        <w:t> </w:t>
      </w:r>
      <w:r>
        <w:rPr>
          <w:rFonts w:cs="Arial"/>
          <w:szCs w:val="24"/>
        </w:rPr>
        <w:t>92 of the Constitution?</w:t>
      </w:r>
    </w:p>
    <w:p w14:paraId="1A7A3451" w14:textId="77777777" w:rsidR="00020F4E" w:rsidRDefault="00020F4E" w:rsidP="00F87D0E">
      <w:pPr>
        <w:pStyle w:val="ListParagraph"/>
        <w:ind w:left="0"/>
        <w:jc w:val="both"/>
        <w:rPr>
          <w:rFonts w:cs="Arial"/>
          <w:sz w:val="24"/>
          <w:szCs w:val="24"/>
          <w:lang w:eastAsia="en-AU"/>
        </w:rPr>
      </w:pPr>
    </w:p>
    <w:p w14:paraId="5D35CB9C" w14:textId="77777777" w:rsidR="00020F4E" w:rsidRDefault="00020F4E" w:rsidP="00F87D0E">
      <w:pPr>
        <w:numPr>
          <w:ilvl w:val="0"/>
          <w:numId w:val="10"/>
        </w:numPr>
        <w:autoSpaceDE w:val="0"/>
        <w:autoSpaceDN w:val="0"/>
        <w:adjustRightInd w:val="0"/>
        <w:ind w:left="567" w:hanging="567"/>
        <w:jc w:val="both"/>
        <w:rPr>
          <w:rFonts w:cs="Arial"/>
          <w:szCs w:val="24"/>
        </w:rPr>
      </w:pPr>
      <w:proofErr w:type="gramStart"/>
      <w:r>
        <w:rPr>
          <w:rFonts w:cs="Arial"/>
          <w:szCs w:val="24"/>
        </w:rPr>
        <w:t>In light of</w:t>
      </w:r>
      <w:proofErr w:type="gramEnd"/>
      <w:r>
        <w:rPr>
          <w:rFonts w:cs="Arial"/>
          <w:szCs w:val="24"/>
        </w:rPr>
        <w:t xml:space="preserve"> the answers to questions 1 to 2, what relief, if any, should issue?</w:t>
      </w:r>
    </w:p>
    <w:p w14:paraId="73D104BF" w14:textId="77777777" w:rsidR="00020F4E" w:rsidRDefault="00020F4E" w:rsidP="00F87D0E">
      <w:pPr>
        <w:pStyle w:val="ListParagraph"/>
        <w:ind w:left="0"/>
        <w:jc w:val="both"/>
        <w:rPr>
          <w:rFonts w:cs="Arial"/>
          <w:sz w:val="24"/>
          <w:szCs w:val="24"/>
          <w:lang w:eastAsia="en-AU"/>
        </w:rPr>
      </w:pPr>
    </w:p>
    <w:p w14:paraId="44868773" w14:textId="77777777" w:rsidR="00F87D0E" w:rsidRDefault="00020F4E" w:rsidP="00F87D0E">
      <w:pPr>
        <w:numPr>
          <w:ilvl w:val="0"/>
          <w:numId w:val="10"/>
        </w:numPr>
        <w:autoSpaceDE w:val="0"/>
        <w:autoSpaceDN w:val="0"/>
        <w:adjustRightInd w:val="0"/>
        <w:ind w:left="567" w:hanging="567"/>
        <w:jc w:val="both"/>
        <w:rPr>
          <w:rFonts w:cs="Arial"/>
          <w:szCs w:val="24"/>
        </w:rPr>
      </w:pPr>
      <w:r>
        <w:rPr>
          <w:rFonts w:cs="Arial"/>
          <w:szCs w:val="24"/>
        </w:rPr>
        <w:t>Who should pay the costs of and incidental to this special case?</w:t>
      </w:r>
    </w:p>
    <w:p w14:paraId="78072269" w14:textId="77777777" w:rsidR="00F87D0E" w:rsidRDefault="00F87D0E" w:rsidP="00F87D0E">
      <w:pPr>
        <w:pStyle w:val="ListParagraph"/>
        <w:rPr>
          <w:rFonts w:cs="Arial"/>
          <w:szCs w:val="24"/>
        </w:rPr>
      </w:pPr>
    </w:p>
    <w:p w14:paraId="621D3754" w14:textId="222BA51D" w:rsidR="00020F4E" w:rsidRPr="00F87D0E" w:rsidRDefault="00020F4E" w:rsidP="00F87D0E">
      <w:pPr>
        <w:autoSpaceDE w:val="0"/>
        <w:autoSpaceDN w:val="0"/>
        <w:adjustRightInd w:val="0"/>
        <w:jc w:val="both"/>
        <w:rPr>
          <w:rFonts w:cs="Arial"/>
          <w:szCs w:val="24"/>
        </w:rPr>
      </w:pPr>
      <w:r w:rsidRPr="00F87D0E">
        <w:rPr>
          <w:rFonts w:cs="Arial"/>
          <w:szCs w:val="24"/>
        </w:rPr>
        <w:t xml:space="preserve">A Notice of a Constitutional Matter was filed by the Plaintiff.  The Attorneys-General of South Australia and New South Wales </w:t>
      </w:r>
      <w:r w:rsidR="0038588D">
        <w:rPr>
          <w:rFonts w:cs="Arial"/>
          <w:szCs w:val="24"/>
        </w:rPr>
        <w:t xml:space="preserve">have </w:t>
      </w:r>
      <w:r w:rsidRPr="00F87D0E">
        <w:rPr>
          <w:rFonts w:cs="Arial"/>
          <w:szCs w:val="24"/>
        </w:rPr>
        <w:t>interven</w:t>
      </w:r>
      <w:r w:rsidR="0038588D">
        <w:rPr>
          <w:rFonts w:cs="Arial"/>
          <w:szCs w:val="24"/>
        </w:rPr>
        <w:t>ed</w:t>
      </w:r>
      <w:r w:rsidRPr="00F87D0E">
        <w:rPr>
          <w:rFonts w:cs="Arial"/>
          <w:szCs w:val="24"/>
        </w:rPr>
        <w:t xml:space="preserve"> in the proceeding.</w:t>
      </w:r>
    </w:p>
    <w:p w14:paraId="48A33D90" w14:textId="5E71E8FF" w:rsidR="00020F4E" w:rsidRDefault="00020F4E" w:rsidP="00F87D0E">
      <w:pPr>
        <w:jc w:val="both"/>
      </w:pPr>
      <w:r>
        <w:br w:type="page"/>
      </w:r>
    </w:p>
    <w:p w14:paraId="5BD00E6B" w14:textId="7DF9C43E" w:rsidR="00EB5414" w:rsidRPr="002D7FAC" w:rsidRDefault="00EB5414" w:rsidP="00EB5414">
      <w:pPr>
        <w:pStyle w:val="NoSpacing"/>
        <w:rPr>
          <w:rFonts w:ascii="Arial" w:eastAsia="Times New Roman" w:hAnsi="Arial" w:cs="Arial"/>
          <w:b/>
          <w:color w:val="000000"/>
          <w:sz w:val="24"/>
          <w:szCs w:val="24"/>
          <w:u w:val="single"/>
          <w:lang w:eastAsia="en-AU"/>
        </w:rPr>
      </w:pPr>
      <w:r w:rsidRPr="002D7FAC">
        <w:rPr>
          <w:rFonts w:ascii="Arial" w:eastAsia="Times New Roman" w:hAnsi="Arial" w:cs="Arial"/>
          <w:b/>
          <w:color w:val="000000"/>
          <w:sz w:val="24"/>
          <w:szCs w:val="24"/>
          <w:u w:val="single"/>
          <w:lang w:eastAsia="en-AU"/>
        </w:rPr>
        <w:lastRenderedPageBreak/>
        <w:t>MATTHEW WARD PRICE AND DANIEL JAMES PRICE AS EXECUTORS OF THE ESTATE OF ALAN LESLIE PRICE (DECE</w:t>
      </w:r>
      <w:r w:rsidR="0095518B">
        <w:rPr>
          <w:rFonts w:ascii="Arial" w:eastAsia="Times New Roman" w:hAnsi="Arial" w:cs="Arial"/>
          <w:b/>
          <w:color w:val="000000"/>
          <w:sz w:val="24"/>
          <w:szCs w:val="24"/>
          <w:u w:val="single"/>
          <w:lang w:eastAsia="en-AU"/>
        </w:rPr>
        <w:t>AS</w:t>
      </w:r>
      <w:r w:rsidRPr="002D7FAC">
        <w:rPr>
          <w:rFonts w:ascii="Arial" w:eastAsia="Times New Roman" w:hAnsi="Arial" w:cs="Arial"/>
          <w:b/>
          <w:color w:val="000000"/>
          <w:sz w:val="24"/>
          <w:szCs w:val="24"/>
          <w:u w:val="single"/>
          <w:lang w:eastAsia="en-AU"/>
        </w:rPr>
        <w:t xml:space="preserve">ED) &amp; ORS v CHRISTINE CLAIRE SPOOR AS TRUSTEE &amp; </w:t>
      </w:r>
      <w:proofErr w:type="gramStart"/>
      <w:r w:rsidRPr="002D7FAC">
        <w:rPr>
          <w:rFonts w:ascii="Arial" w:eastAsia="Times New Roman" w:hAnsi="Arial" w:cs="Arial"/>
          <w:b/>
          <w:color w:val="000000"/>
          <w:sz w:val="24"/>
          <w:szCs w:val="24"/>
          <w:u w:val="single"/>
          <w:lang w:eastAsia="en-AU"/>
        </w:rPr>
        <w:t>ORS</w:t>
      </w:r>
      <w:r w:rsidRPr="002D7FAC">
        <w:rPr>
          <w:rFonts w:ascii="Arial" w:eastAsia="Times New Roman" w:hAnsi="Arial" w:cs="Arial"/>
          <w:b/>
          <w:color w:val="000000"/>
          <w:sz w:val="24"/>
          <w:szCs w:val="24"/>
          <w:lang w:eastAsia="en-AU"/>
        </w:rPr>
        <w:t xml:space="preserve">  (</w:t>
      </w:r>
      <w:proofErr w:type="gramEnd"/>
      <w:r w:rsidRPr="002D7FAC">
        <w:rPr>
          <w:rFonts w:ascii="Arial" w:eastAsia="Times New Roman" w:hAnsi="Arial" w:cs="Arial"/>
          <w:b/>
          <w:color w:val="000000"/>
          <w:sz w:val="24"/>
          <w:szCs w:val="24"/>
          <w:lang w:eastAsia="en-AU"/>
        </w:rPr>
        <w:t>B55/2020)</w:t>
      </w:r>
    </w:p>
    <w:p w14:paraId="57C601B3" w14:textId="77777777" w:rsidR="00EB5414" w:rsidRPr="00A920AB" w:rsidRDefault="00EB5414" w:rsidP="00EB5414">
      <w:pPr>
        <w:ind w:left="2694" w:hanging="2694"/>
        <w:rPr>
          <w:rFonts w:cs="Arial"/>
          <w:szCs w:val="24"/>
        </w:rPr>
      </w:pPr>
    </w:p>
    <w:p w14:paraId="623C2045" w14:textId="77777777" w:rsidR="00EB5414" w:rsidRPr="006A1C3E" w:rsidRDefault="00EB5414" w:rsidP="00EB5414">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Court of Appeal of the Supreme Court of Queensland </w:t>
      </w:r>
    </w:p>
    <w:p w14:paraId="37AED4A7" w14:textId="77777777" w:rsidR="00EB5414" w:rsidRPr="006A1C3E" w:rsidRDefault="00EB5414" w:rsidP="00EB5414">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[2019] QCA 297</w:t>
      </w:r>
    </w:p>
    <w:p w14:paraId="4920DF7D" w14:textId="77777777" w:rsidR="00EB5414" w:rsidRPr="006A1C3E" w:rsidRDefault="00EB5414" w:rsidP="00EB5414">
      <w:pPr>
        <w:ind w:left="2694" w:hanging="2694"/>
        <w:rPr>
          <w:rFonts w:cs="Arial"/>
          <w:szCs w:val="24"/>
        </w:rPr>
      </w:pPr>
      <w:r w:rsidRPr="006A1C3E">
        <w:rPr>
          <w:rFonts w:cs="Arial"/>
          <w:szCs w:val="24"/>
        </w:rPr>
        <w:tab/>
      </w:r>
    </w:p>
    <w:p w14:paraId="0D2A8991" w14:textId="77777777" w:rsidR="00EB5414" w:rsidRPr="006A1C3E" w:rsidRDefault="00EB5414" w:rsidP="00EB5414">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17 December 2019</w:t>
      </w:r>
    </w:p>
    <w:p w14:paraId="33EC3A45" w14:textId="77777777" w:rsidR="00EB5414" w:rsidRPr="006A1C3E" w:rsidRDefault="00EB5414" w:rsidP="00EB5414">
      <w:pPr>
        <w:ind w:left="2694" w:hanging="2694"/>
        <w:rPr>
          <w:rFonts w:cs="Arial"/>
          <w:szCs w:val="24"/>
        </w:rPr>
      </w:pPr>
    </w:p>
    <w:p w14:paraId="5F5B7F4A" w14:textId="77777777" w:rsidR="00EB5414" w:rsidRDefault="00EB5414" w:rsidP="00EB5414">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11 September</w:t>
      </w:r>
      <w:r w:rsidRPr="006A1C3E">
        <w:rPr>
          <w:rFonts w:cs="Arial"/>
          <w:szCs w:val="24"/>
        </w:rPr>
        <w:t xml:space="preserve"> 2020</w:t>
      </w:r>
    </w:p>
    <w:p w14:paraId="31198395" w14:textId="77777777" w:rsidR="00EB5414" w:rsidRDefault="00EB5414" w:rsidP="00EB5414">
      <w:pPr>
        <w:ind w:left="2694" w:hanging="2694"/>
        <w:jc w:val="both"/>
        <w:rPr>
          <w:rFonts w:cs="Arial"/>
          <w:szCs w:val="24"/>
        </w:rPr>
      </w:pPr>
    </w:p>
    <w:p w14:paraId="57D37092" w14:textId="35D6222F" w:rsidR="00EB5414" w:rsidRDefault="00EB5414" w:rsidP="00EB5414">
      <w:pPr>
        <w:jc w:val="both"/>
        <w:rPr>
          <w:rFonts w:cs="Arial"/>
          <w:szCs w:val="24"/>
        </w:rPr>
      </w:pPr>
      <w:r>
        <w:rPr>
          <w:rFonts w:cs="Arial"/>
          <w:szCs w:val="24"/>
        </w:rPr>
        <w:t xml:space="preserve">On 25 June 1998 Alan and Alanna Price, and James and Gladys Price (‘the Prices”) each executed a mortgage in </w:t>
      </w:r>
      <w:proofErr w:type="spellStart"/>
      <w:r>
        <w:rPr>
          <w:rFonts w:cs="Arial"/>
          <w:szCs w:val="24"/>
        </w:rPr>
        <w:t>favour</w:t>
      </w:r>
      <w:proofErr w:type="spellEnd"/>
      <w:r>
        <w:rPr>
          <w:rFonts w:cs="Arial"/>
          <w:szCs w:val="24"/>
        </w:rPr>
        <w:t xml:space="preserve"> of Law Partners Mortgages (“LPM”) as security for a loan of $320,000.  The loan was not repaid by the repayment date and a new agreement was entered with an extended payment date of 2 July 2000.  Certain repayments were made until</w:t>
      </w:r>
      <w:r w:rsidRPr="00136456">
        <w:rPr>
          <w:rFonts w:cs="Arial"/>
          <w:szCs w:val="24"/>
        </w:rPr>
        <w:t xml:space="preserve"> 30 April 2001 </w:t>
      </w:r>
      <w:r>
        <w:rPr>
          <w:rFonts w:cs="Arial"/>
          <w:szCs w:val="24"/>
        </w:rPr>
        <w:t xml:space="preserve">after which </w:t>
      </w:r>
      <w:r w:rsidRPr="00136456">
        <w:rPr>
          <w:rFonts w:cs="Arial"/>
          <w:szCs w:val="24"/>
        </w:rPr>
        <w:t>no further repayments or acknowledgements were made.</w:t>
      </w:r>
      <w:r>
        <w:rPr>
          <w:rFonts w:cs="Arial"/>
          <w:szCs w:val="24"/>
        </w:rPr>
        <w:t xml:space="preserve"> </w:t>
      </w:r>
    </w:p>
    <w:p w14:paraId="41315C56" w14:textId="77777777" w:rsidR="00EB5414" w:rsidRDefault="00EB5414" w:rsidP="00EB5414">
      <w:pPr>
        <w:jc w:val="both"/>
        <w:rPr>
          <w:rFonts w:cs="Arial"/>
          <w:szCs w:val="24"/>
        </w:rPr>
      </w:pPr>
    </w:p>
    <w:p w14:paraId="473051B4" w14:textId="77777777" w:rsidR="00EB5414" w:rsidRDefault="00EB5414" w:rsidP="00EB5414">
      <w:pPr>
        <w:jc w:val="both"/>
        <w:rPr>
          <w:rFonts w:cs="Arial"/>
          <w:szCs w:val="24"/>
        </w:rPr>
      </w:pPr>
      <w:r>
        <w:rPr>
          <w:rFonts w:cs="Arial"/>
          <w:szCs w:val="24"/>
        </w:rPr>
        <w:t xml:space="preserve">In 2017 the Respondents (the successors in title to LPM) commenced proceedings in the Supreme Court of Queensland against the Prices, seeking over $4 </w:t>
      </w:r>
      <w:r w:rsidRPr="00136456">
        <w:rPr>
          <w:rFonts w:cs="Arial"/>
          <w:szCs w:val="24"/>
        </w:rPr>
        <w:t xml:space="preserve">million said to be due </w:t>
      </w:r>
      <w:r>
        <w:rPr>
          <w:rFonts w:cs="Arial"/>
          <w:szCs w:val="24"/>
        </w:rPr>
        <w:t xml:space="preserve">under the </w:t>
      </w:r>
      <w:r w:rsidRPr="00136456">
        <w:rPr>
          <w:rFonts w:cs="Arial"/>
          <w:szCs w:val="24"/>
        </w:rPr>
        <w:t xml:space="preserve">mortgages and recovery of possession of the mortgaged land. </w:t>
      </w:r>
      <w:r>
        <w:rPr>
          <w:rFonts w:cs="Arial"/>
          <w:szCs w:val="24"/>
        </w:rPr>
        <w:t xml:space="preserve"> </w:t>
      </w:r>
      <w:r w:rsidRPr="00136456">
        <w:rPr>
          <w:rFonts w:cs="Arial"/>
          <w:szCs w:val="24"/>
        </w:rPr>
        <w:t xml:space="preserve">In 2017 and 2018 respectively, Alan Price and James Price died.  James Price’s interest in the mortgaged land passed to Gladys Price and the proceeding was discontinued </w:t>
      </w:r>
      <w:r>
        <w:rPr>
          <w:rFonts w:cs="Arial"/>
          <w:szCs w:val="24"/>
        </w:rPr>
        <w:t xml:space="preserve">as </w:t>
      </w:r>
      <w:r w:rsidRPr="00136456">
        <w:rPr>
          <w:rFonts w:cs="Arial"/>
          <w:szCs w:val="24"/>
        </w:rPr>
        <w:t xml:space="preserve">against him. The </w:t>
      </w:r>
      <w:r>
        <w:rPr>
          <w:rFonts w:cs="Arial"/>
          <w:szCs w:val="24"/>
        </w:rPr>
        <w:t xml:space="preserve">executors </w:t>
      </w:r>
      <w:r w:rsidRPr="00136456">
        <w:rPr>
          <w:rFonts w:cs="Arial"/>
          <w:szCs w:val="24"/>
        </w:rPr>
        <w:t>of Alan Price’s estate</w:t>
      </w:r>
      <w:r>
        <w:rPr>
          <w:rFonts w:cs="Arial"/>
          <w:szCs w:val="24"/>
        </w:rPr>
        <w:t xml:space="preserve"> were substituted into the </w:t>
      </w:r>
      <w:r w:rsidRPr="00136456">
        <w:rPr>
          <w:rFonts w:cs="Arial"/>
          <w:szCs w:val="24"/>
        </w:rPr>
        <w:t xml:space="preserve">proceeding.  </w:t>
      </w:r>
      <w:r>
        <w:rPr>
          <w:rFonts w:cs="Arial"/>
          <w:szCs w:val="24"/>
        </w:rPr>
        <w:t>The Appellants (the executors of Alan Price’s estate, Alanna and Gladys Price) contended that the Respondents’ claims were sta</w:t>
      </w:r>
      <w:r w:rsidRPr="008C7661">
        <w:rPr>
          <w:rFonts w:cs="Arial"/>
          <w:szCs w:val="24"/>
        </w:rPr>
        <w:t>tute barred by ss</w:t>
      </w:r>
      <w:r>
        <w:rPr>
          <w:rFonts w:cs="Arial"/>
          <w:iCs/>
          <w:szCs w:val="24"/>
        </w:rPr>
        <w:t> </w:t>
      </w:r>
      <w:r w:rsidRPr="008C7661">
        <w:rPr>
          <w:rFonts w:cs="Arial"/>
          <w:szCs w:val="24"/>
        </w:rPr>
        <w:t xml:space="preserve">10, 13 and 26 of the </w:t>
      </w:r>
      <w:r w:rsidRPr="008C7661">
        <w:rPr>
          <w:rFonts w:cs="Arial"/>
          <w:i/>
          <w:szCs w:val="24"/>
        </w:rPr>
        <w:t xml:space="preserve">Limitation of Actions Act 1974 </w:t>
      </w:r>
      <w:r w:rsidRPr="008C7661">
        <w:rPr>
          <w:rFonts w:cs="Arial"/>
          <w:szCs w:val="24"/>
        </w:rPr>
        <w:t>(Qld) (“the Act”) and</w:t>
      </w:r>
      <w:r>
        <w:rPr>
          <w:rFonts w:cs="Arial"/>
          <w:szCs w:val="24"/>
        </w:rPr>
        <w:t xml:space="preserve"> </w:t>
      </w:r>
      <w:r w:rsidRPr="008C7661">
        <w:rPr>
          <w:rFonts w:cs="Arial"/>
          <w:szCs w:val="24"/>
        </w:rPr>
        <w:t>the Respondents’ title under the mortgages had been extinguished by s</w:t>
      </w:r>
      <w:r>
        <w:rPr>
          <w:rFonts w:cs="Arial"/>
          <w:iCs/>
          <w:szCs w:val="24"/>
        </w:rPr>
        <w:t> </w:t>
      </w:r>
      <w:r w:rsidRPr="008C7661">
        <w:rPr>
          <w:rFonts w:cs="Arial"/>
          <w:szCs w:val="24"/>
        </w:rPr>
        <w:t>24(1) of the Act.</w:t>
      </w:r>
      <w:r>
        <w:rPr>
          <w:rFonts w:cs="Arial"/>
          <w:szCs w:val="24"/>
        </w:rPr>
        <w:t xml:space="preserve">  The Respondents contended that the Applicants were precluded from pleading any </w:t>
      </w:r>
      <w:proofErr w:type="spellStart"/>
      <w:r>
        <w:rPr>
          <w:rFonts w:cs="Arial"/>
          <w:szCs w:val="24"/>
        </w:rPr>
        <w:t>defence</w:t>
      </w:r>
      <w:proofErr w:type="spellEnd"/>
      <w:r>
        <w:rPr>
          <w:rFonts w:cs="Arial"/>
          <w:szCs w:val="24"/>
        </w:rPr>
        <w:t xml:space="preserve"> under the Act by a covenant contained in clause 24 of the mortgages (“Clause 24”).</w:t>
      </w:r>
    </w:p>
    <w:p w14:paraId="625C8070" w14:textId="77777777" w:rsidR="00EB5414" w:rsidRDefault="00EB5414" w:rsidP="00EB5414">
      <w:pPr>
        <w:jc w:val="both"/>
        <w:rPr>
          <w:rFonts w:cs="Arial"/>
          <w:szCs w:val="24"/>
        </w:rPr>
      </w:pPr>
    </w:p>
    <w:p w14:paraId="0C03D998" w14:textId="77777777" w:rsidR="00EB5414" w:rsidRDefault="00EB5414" w:rsidP="00EB5414">
      <w:pPr>
        <w:jc w:val="both"/>
        <w:rPr>
          <w:rFonts w:cs="Arial"/>
          <w:szCs w:val="24"/>
        </w:rPr>
      </w:pPr>
      <w:r>
        <w:rPr>
          <w:rFonts w:cs="Arial"/>
          <w:szCs w:val="24"/>
        </w:rPr>
        <w:t xml:space="preserve">On 12 April 2019 Justice Dalton entered judgment for the Appellants.  </w:t>
      </w:r>
      <w:r w:rsidRPr="00EC5266">
        <w:rPr>
          <w:rFonts w:cs="Arial"/>
          <w:szCs w:val="24"/>
        </w:rPr>
        <w:t xml:space="preserve">Her </w:t>
      </w:r>
      <w:proofErr w:type="spellStart"/>
      <w:r w:rsidRPr="00EC5266">
        <w:rPr>
          <w:rFonts w:cs="Arial"/>
          <w:szCs w:val="24"/>
        </w:rPr>
        <w:t>Honour</w:t>
      </w:r>
      <w:proofErr w:type="spellEnd"/>
      <w:r>
        <w:rPr>
          <w:rFonts w:cs="Arial"/>
          <w:szCs w:val="24"/>
        </w:rPr>
        <w:t xml:space="preserve"> </w:t>
      </w:r>
      <w:r w:rsidRPr="00EC5266">
        <w:rPr>
          <w:rFonts w:cs="Arial"/>
          <w:szCs w:val="24"/>
        </w:rPr>
        <w:t>rejected a s</w:t>
      </w:r>
      <w:r w:rsidRPr="00E50889">
        <w:rPr>
          <w:rFonts w:cs="Arial"/>
          <w:szCs w:val="24"/>
        </w:rPr>
        <w:t>ubmission for the Appellants that, for public policy reasons, it was not possible at law to contract out of the provisions of the Act.  H</w:t>
      </w:r>
      <w:r>
        <w:rPr>
          <w:rFonts w:cs="Arial"/>
          <w:szCs w:val="24"/>
        </w:rPr>
        <w:t>owev</w:t>
      </w:r>
      <w:r w:rsidRPr="00E50889">
        <w:rPr>
          <w:rFonts w:cs="Arial"/>
          <w:szCs w:val="24"/>
        </w:rPr>
        <w:t>er</w:t>
      </w:r>
      <w:r>
        <w:rPr>
          <w:rFonts w:cs="Arial"/>
          <w:szCs w:val="24"/>
        </w:rPr>
        <w:t>, her</w:t>
      </w:r>
      <w:r w:rsidRPr="00E50889">
        <w:rPr>
          <w:rFonts w:cs="Arial"/>
          <w:szCs w:val="24"/>
        </w:rPr>
        <w:t xml:space="preserve"> </w:t>
      </w:r>
      <w:proofErr w:type="spellStart"/>
      <w:r w:rsidRPr="00E50889">
        <w:rPr>
          <w:rFonts w:cs="Arial"/>
          <w:szCs w:val="24"/>
        </w:rPr>
        <w:t>Honour</w:t>
      </w:r>
      <w:proofErr w:type="spellEnd"/>
      <w:r w:rsidRPr="00E50889">
        <w:rPr>
          <w:rFonts w:cs="Arial"/>
          <w:szCs w:val="24"/>
        </w:rPr>
        <w:t xml:space="preserve"> found that</w:t>
      </w:r>
      <w:r>
        <w:rPr>
          <w:rFonts w:cs="Arial"/>
          <w:szCs w:val="24"/>
        </w:rPr>
        <w:t xml:space="preserve"> </w:t>
      </w:r>
      <w:r w:rsidRPr="00E50889">
        <w:rPr>
          <w:rFonts w:cs="Arial"/>
          <w:szCs w:val="24"/>
        </w:rPr>
        <w:t>it was not possible to exclude</w:t>
      </w:r>
      <w:r>
        <w:rPr>
          <w:rFonts w:cs="Arial"/>
          <w:szCs w:val="24"/>
        </w:rPr>
        <w:t xml:space="preserve"> the operation of s</w:t>
      </w:r>
      <w:r>
        <w:rPr>
          <w:rFonts w:cs="Arial"/>
          <w:iCs/>
          <w:szCs w:val="24"/>
        </w:rPr>
        <w:t> </w:t>
      </w:r>
      <w:r>
        <w:rPr>
          <w:rFonts w:cs="Arial"/>
          <w:szCs w:val="24"/>
        </w:rPr>
        <w:t>24(1) of the Act</w:t>
      </w:r>
      <w:r w:rsidRPr="00E50889">
        <w:rPr>
          <w:rFonts w:cs="Arial"/>
          <w:szCs w:val="24"/>
        </w:rPr>
        <w:t xml:space="preserve"> by contra</w:t>
      </w:r>
      <w:r>
        <w:rPr>
          <w:rFonts w:cs="Arial"/>
          <w:szCs w:val="24"/>
        </w:rPr>
        <w:t>ct</w:t>
      </w:r>
      <w:r w:rsidRPr="00E50889">
        <w:rPr>
          <w:rFonts w:cs="Arial"/>
          <w:szCs w:val="24"/>
        </w:rPr>
        <w:t xml:space="preserve">. </w:t>
      </w:r>
      <w:r>
        <w:rPr>
          <w:rFonts w:cs="Arial"/>
          <w:szCs w:val="24"/>
        </w:rPr>
        <w:t xml:space="preserve"> </w:t>
      </w:r>
      <w:r w:rsidRPr="00E50889">
        <w:rPr>
          <w:rFonts w:cs="Arial"/>
          <w:szCs w:val="24"/>
        </w:rPr>
        <w:t>Justice</w:t>
      </w:r>
      <w:r>
        <w:rPr>
          <w:rFonts w:cs="Arial"/>
          <w:iCs/>
          <w:szCs w:val="24"/>
        </w:rPr>
        <w:t> </w:t>
      </w:r>
      <w:r w:rsidRPr="00E50889">
        <w:rPr>
          <w:rFonts w:cs="Arial"/>
          <w:szCs w:val="24"/>
        </w:rPr>
        <w:t>Dalton found that the relevant periods of limitation for recovery of possession of land</w:t>
      </w:r>
      <w:r w:rsidRPr="00F77181">
        <w:rPr>
          <w:rFonts w:cs="Arial"/>
          <w:szCs w:val="24"/>
        </w:rPr>
        <w:t xml:space="preserve"> had passed before the proceeding commenced and held that s</w:t>
      </w:r>
      <w:r>
        <w:rPr>
          <w:rFonts w:cs="Arial"/>
          <w:iCs/>
          <w:szCs w:val="24"/>
        </w:rPr>
        <w:t> </w:t>
      </w:r>
      <w:r w:rsidRPr="00F77181">
        <w:rPr>
          <w:rFonts w:cs="Arial"/>
          <w:szCs w:val="24"/>
        </w:rPr>
        <w:t xml:space="preserve">24(1) of the Act operated to extinguish the Respondents’ title to the mortgaged lands.  On the question of construction of </w:t>
      </w:r>
      <w:r>
        <w:rPr>
          <w:rFonts w:cs="Arial"/>
          <w:szCs w:val="24"/>
        </w:rPr>
        <w:t>C</w:t>
      </w:r>
      <w:r w:rsidRPr="00F77181">
        <w:rPr>
          <w:rFonts w:cs="Arial"/>
          <w:szCs w:val="24"/>
        </w:rPr>
        <w:t>lause 24</w:t>
      </w:r>
      <w:r>
        <w:rPr>
          <w:rFonts w:cs="Arial"/>
          <w:szCs w:val="24"/>
        </w:rPr>
        <w:t xml:space="preserve">, her </w:t>
      </w:r>
      <w:proofErr w:type="spellStart"/>
      <w:r>
        <w:rPr>
          <w:rFonts w:cs="Arial"/>
          <w:szCs w:val="24"/>
        </w:rPr>
        <w:t>Honour</w:t>
      </w:r>
      <w:proofErr w:type="spellEnd"/>
      <w:r>
        <w:rPr>
          <w:rFonts w:cs="Arial"/>
          <w:szCs w:val="24"/>
        </w:rPr>
        <w:t xml:space="preserve"> found that the </w:t>
      </w:r>
      <w:r w:rsidRPr="0024545E">
        <w:rPr>
          <w:rFonts w:cs="Arial"/>
          <w:szCs w:val="24"/>
        </w:rPr>
        <w:t xml:space="preserve">clause, which did not directly reference the Act, was ambiguous.  Her </w:t>
      </w:r>
      <w:proofErr w:type="spellStart"/>
      <w:r w:rsidRPr="0024545E">
        <w:rPr>
          <w:rFonts w:cs="Arial"/>
          <w:szCs w:val="24"/>
        </w:rPr>
        <w:t>Honour</w:t>
      </w:r>
      <w:proofErr w:type="spellEnd"/>
      <w:r w:rsidRPr="0024545E">
        <w:rPr>
          <w:rFonts w:cs="Arial"/>
          <w:szCs w:val="24"/>
        </w:rPr>
        <w:t xml:space="preserve"> </w:t>
      </w:r>
      <w:r w:rsidRPr="00966092">
        <w:rPr>
          <w:rFonts w:cs="Arial"/>
          <w:szCs w:val="24"/>
        </w:rPr>
        <w:t>construed Clause</w:t>
      </w:r>
      <w:r>
        <w:rPr>
          <w:rFonts w:cs="Arial"/>
          <w:szCs w:val="24"/>
        </w:rPr>
        <w:t xml:space="preserve"> </w:t>
      </w:r>
      <w:r w:rsidRPr="00966092">
        <w:rPr>
          <w:rFonts w:cs="Arial"/>
          <w:szCs w:val="24"/>
        </w:rPr>
        <w:t>24 against the Respondents and</w:t>
      </w:r>
      <w:r w:rsidRPr="0024545E">
        <w:rPr>
          <w:rFonts w:cs="Arial"/>
          <w:szCs w:val="24"/>
        </w:rPr>
        <w:t xml:space="preserve"> held that it </w:t>
      </w:r>
      <w:r w:rsidRPr="00095DB5">
        <w:rPr>
          <w:rFonts w:cs="Arial"/>
          <w:szCs w:val="24"/>
        </w:rPr>
        <w:t xml:space="preserve">did not operate to prevent the Appellants from raising </w:t>
      </w:r>
      <w:proofErr w:type="spellStart"/>
      <w:r w:rsidRPr="00095DB5">
        <w:rPr>
          <w:rFonts w:cs="Arial"/>
          <w:szCs w:val="24"/>
        </w:rPr>
        <w:t>defences</w:t>
      </w:r>
      <w:proofErr w:type="spellEnd"/>
      <w:r w:rsidRPr="00095DB5">
        <w:rPr>
          <w:rFonts w:cs="Arial"/>
          <w:szCs w:val="24"/>
        </w:rPr>
        <w:t xml:space="preserve"> based on ss</w:t>
      </w:r>
      <w:r>
        <w:rPr>
          <w:rFonts w:cs="Arial"/>
          <w:iCs/>
          <w:szCs w:val="24"/>
        </w:rPr>
        <w:t> </w:t>
      </w:r>
      <w:r w:rsidRPr="00095DB5">
        <w:rPr>
          <w:rFonts w:cs="Arial"/>
          <w:szCs w:val="24"/>
        </w:rPr>
        <w:t>10(1)(a) and</w:t>
      </w:r>
      <w:r>
        <w:rPr>
          <w:rFonts w:cs="Arial"/>
          <w:szCs w:val="24"/>
        </w:rPr>
        <w:t xml:space="preserve"> 26(1) of the Act to the claim for monies owing under the </w:t>
      </w:r>
      <w:r w:rsidRPr="00EC5266">
        <w:rPr>
          <w:rFonts w:cs="Arial"/>
          <w:szCs w:val="24"/>
        </w:rPr>
        <w:t xml:space="preserve">mortgage. </w:t>
      </w:r>
    </w:p>
    <w:p w14:paraId="6661885B" w14:textId="77777777" w:rsidR="00EB5414" w:rsidRDefault="00EB5414" w:rsidP="00EB5414">
      <w:pPr>
        <w:jc w:val="both"/>
        <w:rPr>
          <w:rFonts w:cs="Arial"/>
          <w:szCs w:val="24"/>
        </w:rPr>
      </w:pPr>
    </w:p>
    <w:p w14:paraId="42FF3D56" w14:textId="391CC99E" w:rsidR="00EB5414" w:rsidRDefault="00EB5414" w:rsidP="00EB5414">
      <w:pPr>
        <w:jc w:val="both"/>
        <w:rPr>
          <w:rFonts w:cs="Arial"/>
          <w:szCs w:val="24"/>
        </w:rPr>
      </w:pPr>
      <w:r>
        <w:rPr>
          <w:rFonts w:cs="Arial"/>
          <w:szCs w:val="24"/>
        </w:rPr>
        <w:t>An appeal by the Respondents was allowed by the Court of Appeal (</w:t>
      </w:r>
      <w:proofErr w:type="spellStart"/>
      <w:r>
        <w:rPr>
          <w:rFonts w:cs="Arial"/>
          <w:szCs w:val="24"/>
        </w:rPr>
        <w:t>Gotterson</w:t>
      </w:r>
      <w:proofErr w:type="spellEnd"/>
      <w:r>
        <w:rPr>
          <w:rFonts w:cs="Arial"/>
          <w:iCs/>
          <w:szCs w:val="24"/>
        </w:rPr>
        <w:t> </w:t>
      </w:r>
      <w:r>
        <w:rPr>
          <w:rFonts w:cs="Arial"/>
          <w:szCs w:val="24"/>
        </w:rPr>
        <w:t xml:space="preserve">JA, </w:t>
      </w:r>
      <w:proofErr w:type="spellStart"/>
      <w:r>
        <w:rPr>
          <w:rFonts w:cs="Arial"/>
          <w:szCs w:val="24"/>
        </w:rPr>
        <w:t>Sofronoff</w:t>
      </w:r>
      <w:proofErr w:type="spellEnd"/>
      <w:r>
        <w:rPr>
          <w:rFonts w:cs="Arial"/>
          <w:iCs/>
          <w:szCs w:val="24"/>
        </w:rPr>
        <w:t> </w:t>
      </w:r>
      <w:r>
        <w:rPr>
          <w:rFonts w:cs="Arial"/>
          <w:szCs w:val="24"/>
        </w:rPr>
        <w:t>P and Morrison</w:t>
      </w:r>
      <w:r>
        <w:rPr>
          <w:rFonts w:cs="Arial"/>
          <w:iCs/>
          <w:szCs w:val="24"/>
        </w:rPr>
        <w:t> </w:t>
      </w:r>
      <w:r>
        <w:rPr>
          <w:rFonts w:cs="Arial"/>
          <w:szCs w:val="24"/>
        </w:rPr>
        <w:t>JA agreeing), which set aside the orders of Justice</w:t>
      </w:r>
      <w:r w:rsidR="00522AAC">
        <w:rPr>
          <w:rFonts w:cs="Arial"/>
          <w:iCs/>
          <w:szCs w:val="24"/>
        </w:rPr>
        <w:t> </w:t>
      </w:r>
      <w:r>
        <w:rPr>
          <w:rFonts w:cs="Arial"/>
          <w:szCs w:val="24"/>
        </w:rPr>
        <w:t xml:space="preserve">Dalton.  Their </w:t>
      </w:r>
      <w:proofErr w:type="spellStart"/>
      <w:r>
        <w:rPr>
          <w:rFonts w:cs="Arial"/>
          <w:szCs w:val="24"/>
        </w:rPr>
        <w:t>Honours</w:t>
      </w:r>
      <w:proofErr w:type="spellEnd"/>
      <w:r>
        <w:rPr>
          <w:rFonts w:cs="Arial"/>
          <w:szCs w:val="24"/>
        </w:rPr>
        <w:t xml:space="preserve"> rejected the Appellants’ contention that an agreement to contract out of the Act made </w:t>
      </w:r>
      <w:r w:rsidRPr="00C2126E">
        <w:rPr>
          <w:rFonts w:cs="Arial"/>
          <w:szCs w:val="24"/>
        </w:rPr>
        <w:t xml:space="preserve">before a cause of action has arisen is void and unenforceable as a matter of public policy.  On the question of construction, the Court </w:t>
      </w:r>
      <w:r>
        <w:rPr>
          <w:rFonts w:cs="Arial"/>
          <w:szCs w:val="24"/>
        </w:rPr>
        <w:t xml:space="preserve">of Appeal found that by the inclusion of the word “defeat”, Clause 24 applied to provisions of the Act by which the enforcement of a right, power or remedy of the mortgagee might be defended by the mortgagor.  </w:t>
      </w:r>
      <w:r w:rsidRPr="00D76605">
        <w:rPr>
          <w:rFonts w:cs="Arial"/>
          <w:szCs w:val="24"/>
        </w:rPr>
        <w:t>The Court held</w:t>
      </w:r>
      <w:r>
        <w:rPr>
          <w:rFonts w:cs="Arial"/>
          <w:szCs w:val="24"/>
        </w:rPr>
        <w:t xml:space="preserve"> </w:t>
      </w:r>
      <w:r w:rsidRPr="00E50889">
        <w:rPr>
          <w:rFonts w:cs="Arial"/>
          <w:szCs w:val="24"/>
        </w:rPr>
        <w:t>that ss</w:t>
      </w:r>
      <w:r>
        <w:rPr>
          <w:rFonts w:cs="Arial"/>
          <w:iCs/>
          <w:szCs w:val="24"/>
        </w:rPr>
        <w:t> </w:t>
      </w:r>
      <w:r w:rsidRPr="00E50889">
        <w:rPr>
          <w:rFonts w:cs="Arial"/>
          <w:szCs w:val="24"/>
        </w:rPr>
        <w:t xml:space="preserve">10(1)(a), 13 and 26(1) of the Act </w:t>
      </w:r>
      <w:r>
        <w:rPr>
          <w:rFonts w:cs="Arial"/>
          <w:szCs w:val="24"/>
        </w:rPr>
        <w:t>we</w:t>
      </w:r>
      <w:r w:rsidRPr="00E50889">
        <w:rPr>
          <w:rFonts w:cs="Arial"/>
          <w:szCs w:val="24"/>
        </w:rPr>
        <w:t xml:space="preserve">re such provisions and the </w:t>
      </w:r>
      <w:r w:rsidRPr="00E50889">
        <w:rPr>
          <w:rFonts w:cs="Arial"/>
          <w:szCs w:val="24"/>
        </w:rPr>
        <w:lastRenderedPageBreak/>
        <w:t xml:space="preserve">Appellants were therefore precluded by </w:t>
      </w:r>
      <w:r>
        <w:rPr>
          <w:rFonts w:cs="Arial"/>
          <w:szCs w:val="24"/>
        </w:rPr>
        <w:t>C</w:t>
      </w:r>
      <w:r w:rsidRPr="00E50889">
        <w:rPr>
          <w:rFonts w:cs="Arial"/>
          <w:szCs w:val="24"/>
        </w:rPr>
        <w:t xml:space="preserve">lause 24 from pleading a limitations </w:t>
      </w:r>
      <w:proofErr w:type="spellStart"/>
      <w:r w:rsidRPr="00E50889">
        <w:rPr>
          <w:rFonts w:cs="Arial"/>
          <w:szCs w:val="24"/>
        </w:rPr>
        <w:t>defence</w:t>
      </w:r>
      <w:proofErr w:type="spellEnd"/>
      <w:r w:rsidRPr="00E50889">
        <w:rPr>
          <w:rFonts w:cs="Arial"/>
          <w:szCs w:val="24"/>
        </w:rPr>
        <w:t xml:space="preserve">.  </w:t>
      </w:r>
      <w:r>
        <w:rPr>
          <w:rFonts w:cs="Arial"/>
          <w:szCs w:val="24"/>
        </w:rPr>
        <w:t>Further, the Court of Appeal found that the operation of s</w:t>
      </w:r>
      <w:r>
        <w:rPr>
          <w:rFonts w:cs="Arial"/>
          <w:iCs/>
          <w:szCs w:val="24"/>
        </w:rPr>
        <w:t> </w:t>
      </w:r>
      <w:r>
        <w:rPr>
          <w:rFonts w:cs="Arial"/>
          <w:szCs w:val="24"/>
        </w:rPr>
        <w:t>24(1) of the Act was predicated upon the limitation period within which a person may bring an action to recover land (prescribed by s 13) itself having expired.  Having held that Clause 24 operated to exclude s 13 of the Act, the period of limitation prescribed by s</w:t>
      </w:r>
      <w:r>
        <w:rPr>
          <w:rFonts w:cs="Arial"/>
          <w:iCs/>
          <w:szCs w:val="24"/>
        </w:rPr>
        <w:t> </w:t>
      </w:r>
      <w:r>
        <w:rPr>
          <w:rFonts w:cs="Arial"/>
          <w:szCs w:val="24"/>
        </w:rPr>
        <w:t xml:space="preserve">13 had never applied and therefore never expired.  Accordingly, the Respondents’ title to the mortgaged land was not extinguished. </w:t>
      </w:r>
    </w:p>
    <w:p w14:paraId="544ED522" w14:textId="77777777" w:rsidR="00EB5414" w:rsidRDefault="00EB5414" w:rsidP="00EB5414">
      <w:pPr>
        <w:rPr>
          <w:rFonts w:cs="Arial"/>
          <w:szCs w:val="24"/>
        </w:rPr>
      </w:pPr>
    </w:p>
    <w:p w14:paraId="7B6A05B9" w14:textId="6F5368B1" w:rsidR="00EB5414" w:rsidRDefault="00EB5414" w:rsidP="00EB5414">
      <w:pPr>
        <w:rPr>
          <w:rFonts w:cs="Arial"/>
          <w:szCs w:val="24"/>
        </w:rPr>
      </w:pPr>
      <w:r w:rsidRPr="00E50C12">
        <w:rPr>
          <w:rFonts w:cs="Arial"/>
          <w:szCs w:val="24"/>
        </w:rPr>
        <w:t xml:space="preserve">The grounds of </w:t>
      </w:r>
      <w:r w:rsidRPr="007C246D">
        <w:rPr>
          <w:rFonts w:cs="Arial"/>
          <w:szCs w:val="24"/>
        </w:rPr>
        <w:t>appeal include:</w:t>
      </w:r>
    </w:p>
    <w:p w14:paraId="6DE44B5B" w14:textId="77777777" w:rsidR="00EB5414" w:rsidRPr="00FE4BAE" w:rsidRDefault="00EB5414" w:rsidP="00EB5414">
      <w:pPr>
        <w:rPr>
          <w:rFonts w:cs="Arial"/>
          <w:szCs w:val="24"/>
        </w:rPr>
      </w:pPr>
    </w:p>
    <w:p w14:paraId="2D6A944D" w14:textId="77777777" w:rsidR="00EB5414" w:rsidRDefault="00EB5414" w:rsidP="00EB5414">
      <w:pPr>
        <w:numPr>
          <w:ilvl w:val="0"/>
          <w:numId w:val="11"/>
        </w:numPr>
        <w:autoSpaceDE w:val="0"/>
        <w:autoSpaceDN w:val="0"/>
        <w:adjustRightInd w:val="0"/>
        <w:jc w:val="both"/>
        <w:rPr>
          <w:rFonts w:cs="Arial"/>
          <w:szCs w:val="24"/>
        </w:rPr>
      </w:pPr>
      <w:r w:rsidRPr="007C246D">
        <w:rPr>
          <w:rFonts w:cs="Arial"/>
          <w:szCs w:val="24"/>
        </w:rPr>
        <w:t>The Court of Appeal erred in finding a promise or agreement to exclude the operation of the Ac</w:t>
      </w:r>
      <w:r>
        <w:rPr>
          <w:rFonts w:cs="Arial"/>
          <w:szCs w:val="24"/>
        </w:rPr>
        <w:t>t</w:t>
      </w:r>
      <w:r w:rsidRPr="007C246D">
        <w:rPr>
          <w:rFonts w:cs="Arial"/>
          <w:szCs w:val="24"/>
        </w:rPr>
        <w:t xml:space="preserve"> made prior to the date of any cause of action accruing, or at the formation of a loan contract was not void or unenforceable as a matter of public policy for being contrary to statute.</w:t>
      </w:r>
    </w:p>
    <w:p w14:paraId="6CC81ED1" w14:textId="77777777" w:rsidR="00EB5414" w:rsidRDefault="00EB5414" w:rsidP="00EB5414">
      <w:pPr>
        <w:autoSpaceDE w:val="0"/>
        <w:autoSpaceDN w:val="0"/>
        <w:adjustRightInd w:val="0"/>
        <w:ind w:left="720"/>
        <w:jc w:val="both"/>
        <w:rPr>
          <w:rFonts w:cs="Arial"/>
          <w:szCs w:val="24"/>
        </w:rPr>
      </w:pPr>
    </w:p>
    <w:p w14:paraId="545337C1" w14:textId="77777777" w:rsidR="00EB5414" w:rsidRPr="00966092" w:rsidRDefault="00EB5414" w:rsidP="00EB5414">
      <w:pPr>
        <w:numPr>
          <w:ilvl w:val="0"/>
          <w:numId w:val="11"/>
        </w:numPr>
        <w:autoSpaceDE w:val="0"/>
        <w:autoSpaceDN w:val="0"/>
        <w:adjustRightInd w:val="0"/>
        <w:jc w:val="both"/>
        <w:rPr>
          <w:rFonts w:cs="Arial"/>
          <w:szCs w:val="24"/>
        </w:rPr>
      </w:pPr>
      <w:r>
        <w:rPr>
          <w:rFonts w:cs="Arial"/>
          <w:szCs w:val="24"/>
        </w:rPr>
        <w:t>The Court of Appeal erred in failing to find that if Clause 24 of the standard terms document of the mortgages had the effect contended for by the Respondents that it was void and unenforceable.</w:t>
      </w:r>
    </w:p>
    <w:p w14:paraId="53045B3F" w14:textId="24181883" w:rsidR="00EB5414" w:rsidRDefault="00EB5414" w:rsidP="00F87D0E">
      <w:pPr>
        <w:jc w:val="both"/>
      </w:pPr>
      <w:r>
        <w:br/>
      </w:r>
    </w:p>
    <w:p w14:paraId="4B7116CE" w14:textId="77777777" w:rsidR="00EB5414" w:rsidRDefault="00EB5414">
      <w:r>
        <w:br w:type="page"/>
      </w:r>
    </w:p>
    <w:p w14:paraId="6B788F07" w14:textId="6E5D6386" w:rsidR="00A125AB" w:rsidRPr="00782D46" w:rsidRDefault="00A125AB" w:rsidP="00A125AB">
      <w:pPr>
        <w:pStyle w:val="NoSpacing"/>
        <w:rPr>
          <w:rFonts w:ascii="Arial" w:eastAsia="Times New Roman" w:hAnsi="Arial" w:cs="Arial"/>
          <w:b/>
          <w:color w:val="000000"/>
          <w:sz w:val="24"/>
          <w:szCs w:val="24"/>
          <w:u w:val="single"/>
          <w:lang w:eastAsia="en-AU"/>
        </w:rPr>
      </w:pPr>
      <w:r>
        <w:rPr>
          <w:rFonts w:ascii="Arial" w:eastAsia="Times New Roman" w:hAnsi="Arial" w:cs="Arial"/>
          <w:b/>
          <w:color w:val="000000"/>
          <w:sz w:val="24"/>
          <w:szCs w:val="24"/>
          <w:u w:val="single"/>
          <w:lang w:eastAsia="en-AU"/>
        </w:rPr>
        <w:lastRenderedPageBreak/>
        <w:t xml:space="preserve">MZAPC v MINISTER FOR IMMIGRATION AND BORDER PROTECTION </w:t>
      </w:r>
      <w:r>
        <w:rPr>
          <w:rFonts w:ascii="Arial" w:eastAsia="Times New Roman" w:hAnsi="Arial" w:cs="Arial"/>
          <w:b/>
          <w:color w:val="000000"/>
          <w:sz w:val="24"/>
          <w:szCs w:val="24"/>
          <w:u w:val="single"/>
          <w:lang w:eastAsia="en-AU"/>
        </w:rPr>
        <w:br/>
        <w:t xml:space="preserve">&amp; </w:t>
      </w:r>
      <w:proofErr w:type="gramStart"/>
      <w:r>
        <w:rPr>
          <w:rFonts w:ascii="Arial" w:eastAsia="Times New Roman" w:hAnsi="Arial" w:cs="Arial"/>
          <w:b/>
          <w:color w:val="000000"/>
          <w:sz w:val="24"/>
          <w:szCs w:val="24"/>
          <w:u w:val="single"/>
          <w:lang w:eastAsia="en-AU"/>
        </w:rPr>
        <w:t>ANOR</w:t>
      </w:r>
      <w:r>
        <w:rPr>
          <w:rFonts w:ascii="Arial" w:eastAsia="Times New Roman" w:hAnsi="Arial" w:cs="Arial"/>
          <w:b/>
          <w:color w:val="000000"/>
          <w:sz w:val="24"/>
          <w:szCs w:val="24"/>
          <w:lang w:eastAsia="en-AU"/>
        </w:rPr>
        <w:t xml:space="preserve">  </w:t>
      </w:r>
      <w:r w:rsidRPr="00782D46">
        <w:rPr>
          <w:rFonts w:ascii="Arial" w:eastAsia="Times New Roman" w:hAnsi="Arial" w:cs="Arial"/>
          <w:b/>
          <w:color w:val="000000"/>
          <w:sz w:val="24"/>
          <w:szCs w:val="24"/>
          <w:lang w:eastAsia="en-AU"/>
        </w:rPr>
        <w:t>(</w:t>
      </w:r>
      <w:proofErr w:type="gramEnd"/>
      <w:r>
        <w:rPr>
          <w:rFonts w:ascii="Arial" w:eastAsia="Times New Roman" w:hAnsi="Arial" w:cs="Arial"/>
          <w:b/>
          <w:color w:val="000000"/>
          <w:sz w:val="24"/>
          <w:szCs w:val="24"/>
          <w:lang w:eastAsia="en-AU"/>
        </w:rPr>
        <w:t>M77</w:t>
      </w:r>
      <w:r w:rsidRPr="00782D46">
        <w:rPr>
          <w:rFonts w:ascii="Arial" w:eastAsia="Times New Roman" w:hAnsi="Arial" w:cs="Arial"/>
          <w:b/>
          <w:color w:val="000000"/>
          <w:sz w:val="24"/>
          <w:szCs w:val="24"/>
          <w:lang w:eastAsia="en-AU"/>
        </w:rPr>
        <w:t>/2020)</w:t>
      </w:r>
    </w:p>
    <w:p w14:paraId="0B1400B9" w14:textId="77777777" w:rsidR="00A125AB" w:rsidRPr="00E651B8" w:rsidRDefault="00A125AB" w:rsidP="00A125AB">
      <w:pPr>
        <w:ind w:left="2694" w:hanging="2694"/>
        <w:rPr>
          <w:rFonts w:cs="Arial"/>
          <w:szCs w:val="24"/>
        </w:rPr>
      </w:pPr>
    </w:p>
    <w:p w14:paraId="196C7261" w14:textId="77777777" w:rsidR="00A125AB" w:rsidRDefault="00A125AB" w:rsidP="00A125AB">
      <w:pPr>
        <w:ind w:left="2552" w:hanging="2552"/>
        <w:rPr>
          <w:rFonts w:cs="Arial"/>
          <w:szCs w:val="24"/>
        </w:rPr>
      </w:pPr>
      <w:r w:rsidRPr="008A0364">
        <w:rPr>
          <w:rFonts w:cs="Arial"/>
          <w:szCs w:val="24"/>
          <w:u w:val="single"/>
        </w:rPr>
        <w:t>Court appealed from</w:t>
      </w:r>
      <w:r w:rsidRPr="00125671">
        <w:rPr>
          <w:rFonts w:cs="Arial"/>
          <w:szCs w:val="24"/>
        </w:rPr>
        <w:t>:</w:t>
      </w:r>
      <w:r w:rsidRPr="008A0364">
        <w:rPr>
          <w:rFonts w:cs="Arial"/>
          <w:szCs w:val="24"/>
        </w:rPr>
        <w:tab/>
      </w:r>
      <w:r>
        <w:rPr>
          <w:rFonts w:cs="Arial"/>
          <w:szCs w:val="24"/>
        </w:rPr>
        <w:t>Federal Court of Australia</w:t>
      </w:r>
      <w:r>
        <w:rPr>
          <w:rFonts w:cs="Arial"/>
          <w:szCs w:val="24"/>
        </w:rPr>
        <w:br/>
        <w:t>[2019] FCA 2024</w:t>
      </w:r>
    </w:p>
    <w:p w14:paraId="706CBD6A" w14:textId="77777777" w:rsidR="00A125AB" w:rsidRPr="008A0364" w:rsidRDefault="00A125AB" w:rsidP="00A125AB">
      <w:pPr>
        <w:ind w:left="2694" w:hanging="2694"/>
        <w:rPr>
          <w:rFonts w:cs="Arial"/>
          <w:szCs w:val="24"/>
        </w:rPr>
      </w:pPr>
    </w:p>
    <w:p w14:paraId="16AB84F8" w14:textId="77777777" w:rsidR="00A125AB" w:rsidRDefault="00A125AB" w:rsidP="00A125AB">
      <w:pPr>
        <w:ind w:left="2552" w:hanging="2552"/>
        <w:rPr>
          <w:rFonts w:cs="Arial"/>
          <w:szCs w:val="24"/>
        </w:rPr>
      </w:pPr>
      <w:r w:rsidRPr="008A0364">
        <w:rPr>
          <w:rFonts w:cs="Arial"/>
          <w:szCs w:val="24"/>
          <w:u w:val="single"/>
        </w:rPr>
        <w:t>Date of judgment</w:t>
      </w:r>
      <w:r w:rsidRPr="00125671">
        <w:rPr>
          <w:rFonts w:cs="Arial"/>
          <w:szCs w:val="24"/>
        </w:rPr>
        <w:t>:</w:t>
      </w:r>
      <w:r>
        <w:rPr>
          <w:rFonts w:cs="Arial"/>
          <w:szCs w:val="24"/>
        </w:rPr>
        <w:tab/>
        <w:t>4 December 2019</w:t>
      </w:r>
    </w:p>
    <w:p w14:paraId="4D18E281" w14:textId="77777777" w:rsidR="00A125AB" w:rsidRDefault="00A125AB" w:rsidP="00A125AB">
      <w:pPr>
        <w:ind w:left="2552" w:hanging="2552"/>
        <w:rPr>
          <w:rFonts w:cs="Arial"/>
          <w:szCs w:val="24"/>
        </w:rPr>
      </w:pPr>
    </w:p>
    <w:p w14:paraId="4EB6427C" w14:textId="77777777" w:rsidR="00A125AB" w:rsidRDefault="00A125AB" w:rsidP="00A125AB">
      <w:pPr>
        <w:tabs>
          <w:tab w:val="left" w:pos="4536"/>
        </w:tabs>
        <w:ind w:left="2552" w:hanging="2552"/>
        <w:rPr>
          <w:rFonts w:cs="Arial"/>
          <w:szCs w:val="24"/>
        </w:rPr>
      </w:pPr>
      <w:r w:rsidRPr="00F33B75">
        <w:rPr>
          <w:rFonts w:cs="Arial"/>
          <w:szCs w:val="24"/>
          <w:u w:val="single"/>
        </w:rPr>
        <w:t>Special leave granted</w:t>
      </w:r>
      <w:r w:rsidRPr="00F33B75">
        <w:rPr>
          <w:rFonts w:cs="Arial"/>
          <w:szCs w:val="24"/>
        </w:rPr>
        <w:t>:</w:t>
      </w:r>
      <w:r>
        <w:rPr>
          <w:rFonts w:cs="Arial"/>
          <w:szCs w:val="24"/>
        </w:rPr>
        <w:tab/>
        <w:t>14 August 2020</w:t>
      </w:r>
    </w:p>
    <w:p w14:paraId="41215DCC" w14:textId="77777777" w:rsidR="00A125AB" w:rsidRDefault="00A125AB" w:rsidP="00A125AB">
      <w:pPr>
        <w:jc w:val="both"/>
        <w:rPr>
          <w:rFonts w:cs="Arial"/>
          <w:szCs w:val="24"/>
        </w:rPr>
      </w:pPr>
    </w:p>
    <w:p w14:paraId="38183147" w14:textId="77777777" w:rsidR="00A125AB" w:rsidRDefault="00A125AB" w:rsidP="00A125AB">
      <w:pPr>
        <w:jc w:val="both"/>
        <w:rPr>
          <w:rFonts w:cs="Arial"/>
          <w:szCs w:val="24"/>
        </w:rPr>
      </w:pPr>
      <w:r w:rsidRPr="00E70FC6">
        <w:rPr>
          <w:rFonts w:cs="Arial"/>
          <w:szCs w:val="24"/>
        </w:rPr>
        <w:t>The Appellant</w:t>
      </w:r>
      <w:r>
        <w:rPr>
          <w:rFonts w:cs="Arial"/>
          <w:szCs w:val="24"/>
        </w:rPr>
        <w:t xml:space="preserve"> is a citizen of India who arrived in Australia on a student visa in 2006.  He applied for another student visa in 2007 which was refused on 18 April 2012.  He was unsuccessful in applying for review of that decision.</w:t>
      </w:r>
    </w:p>
    <w:p w14:paraId="1327464A" w14:textId="77777777" w:rsidR="00A125AB" w:rsidRDefault="00A125AB" w:rsidP="00A125AB">
      <w:pPr>
        <w:jc w:val="both"/>
        <w:rPr>
          <w:rFonts w:cs="Arial"/>
          <w:szCs w:val="24"/>
        </w:rPr>
      </w:pPr>
    </w:p>
    <w:p w14:paraId="64C04206" w14:textId="7F6351B7" w:rsidR="00A125AB" w:rsidRDefault="00A125AB" w:rsidP="00A125AB">
      <w:pPr>
        <w:jc w:val="both"/>
        <w:rPr>
          <w:rFonts w:cs="Arial"/>
          <w:szCs w:val="24"/>
        </w:rPr>
      </w:pPr>
      <w:r>
        <w:rPr>
          <w:rFonts w:cs="Arial"/>
          <w:szCs w:val="24"/>
        </w:rPr>
        <w:t xml:space="preserve">In October 2013 the Appellant lodged an application for a Protection visa but it was invalid because he did not provide personal identifiers.  In January 2014 he lodged a second Protection visa application.  His Protection visa was refused on 2 June 2014.  The Appellant applied to the Refugee Review Tribunal (‘the Tribunal’) for a review of the decision. </w:t>
      </w:r>
    </w:p>
    <w:p w14:paraId="3EB1C269" w14:textId="77777777" w:rsidR="00A125AB" w:rsidRDefault="00A125AB" w:rsidP="00A125AB">
      <w:pPr>
        <w:jc w:val="both"/>
        <w:rPr>
          <w:rFonts w:cs="Arial"/>
          <w:szCs w:val="24"/>
        </w:rPr>
      </w:pPr>
    </w:p>
    <w:p w14:paraId="447C1501" w14:textId="2042E693" w:rsidR="00A125AB" w:rsidRDefault="00A125AB" w:rsidP="00A125AB">
      <w:pPr>
        <w:jc w:val="both"/>
        <w:rPr>
          <w:rFonts w:cs="Arial"/>
          <w:szCs w:val="24"/>
        </w:rPr>
      </w:pPr>
      <w:r>
        <w:rPr>
          <w:rFonts w:cs="Arial"/>
          <w:szCs w:val="24"/>
        </w:rPr>
        <w:t xml:space="preserve">On 4 November 2014 the Tribunal affirmed the decision to refuse the Protection visa.  The Appellant made an application for judicial review in the Federal Circuit Court.  On 17 May 2016 the Federal Circuit Court dismissed the application.  He appealed to the Federal Court. </w:t>
      </w:r>
    </w:p>
    <w:p w14:paraId="673E9F8D" w14:textId="77777777" w:rsidR="00A125AB" w:rsidRDefault="00A125AB" w:rsidP="00A125AB">
      <w:pPr>
        <w:jc w:val="both"/>
        <w:rPr>
          <w:rFonts w:cs="Arial"/>
          <w:szCs w:val="24"/>
        </w:rPr>
      </w:pPr>
    </w:p>
    <w:p w14:paraId="687BDC68" w14:textId="19E91E49" w:rsidR="00A125AB" w:rsidRPr="00003494" w:rsidRDefault="00A125AB" w:rsidP="00A125AB">
      <w:pPr>
        <w:jc w:val="both"/>
        <w:rPr>
          <w:rFonts w:cs="Arial"/>
          <w:szCs w:val="24"/>
        </w:rPr>
      </w:pPr>
      <w:r>
        <w:rPr>
          <w:rFonts w:cs="Arial"/>
          <w:szCs w:val="24"/>
        </w:rPr>
        <w:t xml:space="preserve">The appeal was held in abeyance until the High Court decided </w:t>
      </w:r>
      <w:proofErr w:type="gramStart"/>
      <w:r>
        <w:rPr>
          <w:rFonts w:cs="Arial"/>
          <w:szCs w:val="24"/>
        </w:rPr>
        <w:t>a number of</w:t>
      </w:r>
      <w:proofErr w:type="gramEnd"/>
      <w:r>
        <w:rPr>
          <w:rFonts w:cs="Arial"/>
          <w:szCs w:val="24"/>
        </w:rPr>
        <w:t xml:space="preserve"> appeals, including </w:t>
      </w:r>
      <w:r>
        <w:rPr>
          <w:rFonts w:cs="Arial"/>
          <w:i/>
          <w:szCs w:val="24"/>
        </w:rPr>
        <w:t xml:space="preserve">Minister for Immigration and Border Protection v SZMTA </w:t>
      </w:r>
      <w:r>
        <w:rPr>
          <w:rFonts w:cs="Arial"/>
          <w:szCs w:val="24"/>
        </w:rPr>
        <w:t>[2019] HCA 3, which dealt with notifications given under s</w:t>
      </w:r>
      <w:r>
        <w:rPr>
          <w:rFonts w:cs="Arial"/>
          <w:iCs/>
          <w:szCs w:val="24"/>
        </w:rPr>
        <w:t> </w:t>
      </w:r>
      <w:r>
        <w:rPr>
          <w:rFonts w:cs="Arial"/>
          <w:szCs w:val="24"/>
        </w:rPr>
        <w:t xml:space="preserve">438 of the </w:t>
      </w:r>
      <w:r>
        <w:rPr>
          <w:rFonts w:cs="Arial"/>
          <w:i/>
          <w:szCs w:val="24"/>
        </w:rPr>
        <w:t xml:space="preserve">Migration Act </w:t>
      </w:r>
      <w:r w:rsidR="00B80392">
        <w:rPr>
          <w:rFonts w:cs="Arial"/>
          <w:i/>
          <w:szCs w:val="24"/>
        </w:rPr>
        <w:t xml:space="preserve">1958 </w:t>
      </w:r>
      <w:r w:rsidRPr="00C6264B">
        <w:rPr>
          <w:rFonts w:cs="Arial"/>
          <w:iCs/>
          <w:szCs w:val="24"/>
        </w:rPr>
        <w:t>(</w:t>
      </w:r>
      <w:proofErr w:type="spellStart"/>
      <w:r w:rsidRPr="00C6264B">
        <w:rPr>
          <w:rFonts w:cs="Arial"/>
          <w:iCs/>
          <w:szCs w:val="24"/>
        </w:rPr>
        <w:t>Cth</w:t>
      </w:r>
      <w:proofErr w:type="spellEnd"/>
      <w:r w:rsidRPr="00C6264B">
        <w:rPr>
          <w:rFonts w:cs="Arial"/>
          <w:iCs/>
          <w:szCs w:val="24"/>
        </w:rPr>
        <w:t>)</w:t>
      </w:r>
      <w:r>
        <w:rPr>
          <w:rFonts w:cs="Arial"/>
          <w:szCs w:val="24"/>
        </w:rPr>
        <w:t>.</w:t>
      </w:r>
    </w:p>
    <w:p w14:paraId="72C3691B" w14:textId="77777777" w:rsidR="00A125AB" w:rsidRDefault="00A125AB" w:rsidP="00A125AB">
      <w:pPr>
        <w:jc w:val="both"/>
        <w:rPr>
          <w:rFonts w:cs="Arial"/>
          <w:szCs w:val="24"/>
        </w:rPr>
      </w:pPr>
    </w:p>
    <w:p w14:paraId="4DA41D28" w14:textId="71DE7CB6" w:rsidR="00A125AB" w:rsidRDefault="00A125AB" w:rsidP="00A125AB">
      <w:pPr>
        <w:jc w:val="both"/>
        <w:rPr>
          <w:rFonts w:cs="Arial"/>
          <w:szCs w:val="24"/>
        </w:rPr>
      </w:pPr>
      <w:r>
        <w:rPr>
          <w:rFonts w:cs="Arial"/>
          <w:szCs w:val="24"/>
        </w:rPr>
        <w:t>On 25 January 2018 the First Respondent (the Minister) filed an affidavit disclosing the existence of a notification given under s</w:t>
      </w:r>
      <w:r>
        <w:rPr>
          <w:rFonts w:cs="Arial"/>
          <w:iCs/>
          <w:szCs w:val="24"/>
        </w:rPr>
        <w:t> </w:t>
      </w:r>
      <w:r>
        <w:rPr>
          <w:rFonts w:cs="Arial"/>
          <w:szCs w:val="24"/>
        </w:rPr>
        <w:t xml:space="preserve">438 of the </w:t>
      </w:r>
      <w:r>
        <w:rPr>
          <w:rFonts w:cs="Arial"/>
          <w:i/>
          <w:szCs w:val="24"/>
        </w:rPr>
        <w:t xml:space="preserve">Migration Act </w:t>
      </w:r>
      <w:r w:rsidRPr="00B80392">
        <w:rPr>
          <w:rFonts w:cs="Arial"/>
          <w:i/>
          <w:iCs/>
          <w:szCs w:val="24"/>
        </w:rPr>
        <w:t>1958</w:t>
      </w:r>
      <w:r>
        <w:rPr>
          <w:rFonts w:cs="Arial"/>
          <w:szCs w:val="24"/>
        </w:rPr>
        <w:t xml:space="preserve"> (</w:t>
      </w:r>
      <w:proofErr w:type="spellStart"/>
      <w:r>
        <w:rPr>
          <w:rFonts w:cs="Arial"/>
          <w:szCs w:val="24"/>
        </w:rPr>
        <w:t>Cth</w:t>
      </w:r>
      <w:proofErr w:type="spellEnd"/>
      <w:r>
        <w:rPr>
          <w:rFonts w:cs="Arial"/>
          <w:szCs w:val="24"/>
        </w:rPr>
        <w:t>).  The s</w:t>
      </w:r>
      <w:r>
        <w:rPr>
          <w:rFonts w:cs="Arial"/>
          <w:iCs/>
          <w:szCs w:val="24"/>
        </w:rPr>
        <w:t> </w:t>
      </w:r>
      <w:r>
        <w:rPr>
          <w:rFonts w:cs="Arial"/>
          <w:szCs w:val="24"/>
        </w:rPr>
        <w:t>438 notification contained details of the Appellant’s police record including driving related offences and, relevantly, a ‘State false name’ offence.  The Appellant argued that that the Tribunal had made an adverse credibility finding, that the ‘State false name’ offence in the s</w:t>
      </w:r>
      <w:r>
        <w:rPr>
          <w:rFonts w:cs="Arial"/>
          <w:iCs/>
          <w:szCs w:val="24"/>
        </w:rPr>
        <w:t> </w:t>
      </w:r>
      <w:r>
        <w:rPr>
          <w:rFonts w:cs="Arial"/>
          <w:szCs w:val="24"/>
        </w:rPr>
        <w:t>438 notification could have contributed to that finding and that the Tribunal provided no other reason why the Appellant was not credible.  The Appellant argued the s</w:t>
      </w:r>
      <w:r>
        <w:rPr>
          <w:rFonts w:cs="Arial"/>
          <w:iCs/>
          <w:szCs w:val="24"/>
        </w:rPr>
        <w:t> </w:t>
      </w:r>
      <w:r>
        <w:rPr>
          <w:rFonts w:cs="Arial"/>
          <w:szCs w:val="24"/>
        </w:rPr>
        <w:t>438 notification was material to the Tribunal’s decision and he had not been accorded procedural fairness because the Tribunal had not disclosed it to him.</w:t>
      </w:r>
    </w:p>
    <w:p w14:paraId="2BFF542F" w14:textId="77777777" w:rsidR="00A125AB" w:rsidRDefault="00A125AB" w:rsidP="00A125AB">
      <w:pPr>
        <w:jc w:val="both"/>
        <w:rPr>
          <w:rFonts w:cs="Arial"/>
          <w:szCs w:val="24"/>
        </w:rPr>
      </w:pPr>
    </w:p>
    <w:p w14:paraId="7D4D61F1" w14:textId="77777777" w:rsidR="00A125AB" w:rsidRDefault="00A125AB" w:rsidP="00A125AB">
      <w:pPr>
        <w:jc w:val="both"/>
        <w:rPr>
          <w:rFonts w:cs="Arial"/>
          <w:szCs w:val="24"/>
        </w:rPr>
      </w:pPr>
      <w:r>
        <w:rPr>
          <w:rFonts w:cs="Arial"/>
          <w:szCs w:val="24"/>
        </w:rPr>
        <w:t>The Minister accepted that that the failure to disclose the s</w:t>
      </w:r>
      <w:r>
        <w:rPr>
          <w:rFonts w:cs="Arial"/>
          <w:iCs/>
          <w:szCs w:val="24"/>
        </w:rPr>
        <w:t> </w:t>
      </w:r>
      <w:r>
        <w:rPr>
          <w:rFonts w:cs="Arial"/>
          <w:szCs w:val="24"/>
        </w:rPr>
        <w:t>438 notification was a breach of procedural fairness but argued that the Appellant had failed to establish that it was material to the outcome of the Tribunal’s review.</w:t>
      </w:r>
    </w:p>
    <w:p w14:paraId="1CB356B6" w14:textId="77777777" w:rsidR="00A125AB" w:rsidRDefault="00A125AB" w:rsidP="00A125AB">
      <w:pPr>
        <w:jc w:val="both"/>
        <w:rPr>
          <w:rFonts w:cs="Arial"/>
          <w:szCs w:val="24"/>
        </w:rPr>
      </w:pPr>
    </w:p>
    <w:p w14:paraId="271236D8" w14:textId="41944A14" w:rsidR="00A125AB" w:rsidRDefault="00A125AB" w:rsidP="00A125AB">
      <w:pPr>
        <w:jc w:val="both"/>
        <w:rPr>
          <w:rFonts w:cs="Arial"/>
          <w:szCs w:val="24"/>
        </w:rPr>
      </w:pPr>
      <w:r>
        <w:rPr>
          <w:rFonts w:cs="Arial"/>
          <w:szCs w:val="24"/>
        </w:rPr>
        <w:t>On 4 December 2019 Mortimer</w:t>
      </w:r>
      <w:r>
        <w:rPr>
          <w:rFonts w:cs="Arial"/>
          <w:iCs/>
          <w:szCs w:val="24"/>
        </w:rPr>
        <w:t> </w:t>
      </w:r>
      <w:r>
        <w:rPr>
          <w:rFonts w:cs="Arial"/>
          <w:szCs w:val="24"/>
        </w:rPr>
        <w:t>J dismissed the appeal.  Noting the Minister’s concession, Mortimer</w:t>
      </w:r>
      <w:r>
        <w:rPr>
          <w:rFonts w:cs="Arial"/>
          <w:iCs/>
          <w:szCs w:val="24"/>
        </w:rPr>
        <w:t> </w:t>
      </w:r>
      <w:r>
        <w:rPr>
          <w:rFonts w:cs="Arial"/>
          <w:szCs w:val="24"/>
        </w:rPr>
        <w:t>J found that the Tribunal’s failure to disclose the s</w:t>
      </w:r>
      <w:r>
        <w:rPr>
          <w:rFonts w:cs="Arial"/>
          <w:iCs/>
          <w:szCs w:val="24"/>
        </w:rPr>
        <w:t> </w:t>
      </w:r>
      <w:r>
        <w:rPr>
          <w:rFonts w:cs="Arial"/>
          <w:szCs w:val="24"/>
        </w:rPr>
        <w:t>438 notification constituted a denial of procedural fairness but found that, in order to establish jurisdictional error, the breach must be material to the decision.  Mortimer</w:t>
      </w:r>
      <w:r>
        <w:rPr>
          <w:rFonts w:cs="Arial"/>
          <w:iCs/>
          <w:szCs w:val="24"/>
        </w:rPr>
        <w:t> </w:t>
      </w:r>
      <w:r>
        <w:rPr>
          <w:rFonts w:cs="Arial"/>
          <w:szCs w:val="24"/>
        </w:rPr>
        <w:t xml:space="preserve">J noted that she was bound to follow the High Court decision in </w:t>
      </w:r>
      <w:r>
        <w:rPr>
          <w:rFonts w:cs="Arial"/>
          <w:i/>
          <w:szCs w:val="24"/>
        </w:rPr>
        <w:t xml:space="preserve">Minister for Immigration and Border Protection v SZMTA </w:t>
      </w:r>
      <w:r>
        <w:rPr>
          <w:rFonts w:cs="Arial"/>
          <w:szCs w:val="24"/>
        </w:rPr>
        <w:t>[2019] HCA 3 which held that in order to establish materiality, the Appellant must prove, first, that the s</w:t>
      </w:r>
      <w:r>
        <w:rPr>
          <w:rFonts w:cs="Arial"/>
          <w:iCs/>
          <w:szCs w:val="24"/>
        </w:rPr>
        <w:t> </w:t>
      </w:r>
      <w:r>
        <w:rPr>
          <w:rFonts w:cs="Arial"/>
          <w:szCs w:val="24"/>
        </w:rPr>
        <w:t>438 information was in fact taken into account by the Tribunal, and second, that the outcome could have realistically been different if the Appellant had an opportunity to make submissions to the Tribunal about that information.</w:t>
      </w:r>
    </w:p>
    <w:p w14:paraId="00CED530" w14:textId="77777777" w:rsidR="00A125AB" w:rsidRDefault="00A125AB" w:rsidP="00A125AB">
      <w:pPr>
        <w:jc w:val="both"/>
        <w:rPr>
          <w:rFonts w:cs="Arial"/>
          <w:szCs w:val="24"/>
        </w:rPr>
      </w:pPr>
    </w:p>
    <w:p w14:paraId="19D54850" w14:textId="77777777" w:rsidR="00A125AB" w:rsidRDefault="00A125AB" w:rsidP="00A125AB">
      <w:pPr>
        <w:jc w:val="both"/>
        <w:rPr>
          <w:rFonts w:cs="Arial"/>
          <w:szCs w:val="24"/>
        </w:rPr>
      </w:pPr>
      <w:r>
        <w:rPr>
          <w:rFonts w:cs="Arial"/>
          <w:szCs w:val="24"/>
        </w:rPr>
        <w:t>Mortimer J found that the Appellant had not proven that the s</w:t>
      </w:r>
      <w:r>
        <w:rPr>
          <w:rFonts w:cs="Arial"/>
          <w:iCs/>
          <w:szCs w:val="24"/>
        </w:rPr>
        <w:t> </w:t>
      </w:r>
      <w:r>
        <w:rPr>
          <w:rFonts w:cs="Arial"/>
          <w:szCs w:val="24"/>
        </w:rPr>
        <w:t xml:space="preserve">438 information was </w:t>
      </w:r>
      <w:proofErr w:type="gramStart"/>
      <w:r>
        <w:rPr>
          <w:rFonts w:cs="Arial"/>
          <w:szCs w:val="24"/>
        </w:rPr>
        <w:t>taken into account</w:t>
      </w:r>
      <w:proofErr w:type="gramEnd"/>
      <w:r>
        <w:rPr>
          <w:rFonts w:cs="Arial"/>
          <w:szCs w:val="24"/>
        </w:rPr>
        <w:t xml:space="preserve"> or that, even if he had an opportunity to make submissions, there was a realistic possibility of a different outcome.</w:t>
      </w:r>
    </w:p>
    <w:p w14:paraId="2643EF8B" w14:textId="77777777" w:rsidR="00A125AB" w:rsidRDefault="00A125AB" w:rsidP="00A125AB">
      <w:pPr>
        <w:jc w:val="both"/>
        <w:rPr>
          <w:rFonts w:cs="Arial"/>
          <w:szCs w:val="24"/>
          <w:highlight w:val="yellow"/>
        </w:rPr>
      </w:pPr>
    </w:p>
    <w:p w14:paraId="17497B9B" w14:textId="77777777" w:rsidR="00A125AB" w:rsidRDefault="00A125AB" w:rsidP="00A125AB">
      <w:pPr>
        <w:jc w:val="both"/>
        <w:rPr>
          <w:rFonts w:cs="Arial"/>
          <w:szCs w:val="24"/>
        </w:rPr>
      </w:pPr>
      <w:r>
        <w:rPr>
          <w:rFonts w:cs="Arial"/>
          <w:szCs w:val="24"/>
        </w:rPr>
        <w:t>The grounds of appeal are:</w:t>
      </w:r>
    </w:p>
    <w:p w14:paraId="7917ABCE" w14:textId="77777777" w:rsidR="00A125AB" w:rsidRDefault="00A125AB" w:rsidP="00A125AB">
      <w:pPr>
        <w:jc w:val="both"/>
        <w:rPr>
          <w:rFonts w:cs="Arial"/>
          <w:szCs w:val="24"/>
        </w:rPr>
      </w:pPr>
    </w:p>
    <w:p w14:paraId="1C26F2C4" w14:textId="77777777" w:rsidR="00A125AB" w:rsidRDefault="00A125AB" w:rsidP="00A125AB">
      <w:pPr>
        <w:pStyle w:val="ListParagraph"/>
        <w:numPr>
          <w:ilvl w:val="0"/>
          <w:numId w:val="12"/>
        </w:numPr>
        <w:jc w:val="both"/>
        <w:rPr>
          <w:rFonts w:cs="Arial"/>
          <w:sz w:val="24"/>
          <w:szCs w:val="24"/>
        </w:rPr>
      </w:pPr>
      <w:r>
        <w:rPr>
          <w:rFonts w:cs="Arial"/>
          <w:sz w:val="24"/>
          <w:szCs w:val="24"/>
        </w:rPr>
        <w:t>The Federal Court erred when considering the materiality of a denial of procedural fairness occasioned by the Appellant not being told a certificate had been issued under section</w:t>
      </w:r>
      <w:r>
        <w:rPr>
          <w:rFonts w:cs="Arial"/>
          <w:iCs/>
          <w:szCs w:val="24"/>
        </w:rPr>
        <w:t> </w:t>
      </w:r>
      <w:r>
        <w:rPr>
          <w:rFonts w:cs="Arial"/>
          <w:sz w:val="24"/>
          <w:szCs w:val="24"/>
        </w:rPr>
        <w:t xml:space="preserve">438 of the </w:t>
      </w:r>
      <w:r>
        <w:rPr>
          <w:rFonts w:cs="Arial"/>
          <w:i/>
          <w:sz w:val="24"/>
          <w:szCs w:val="24"/>
        </w:rPr>
        <w:t xml:space="preserve">Migration Act </w:t>
      </w:r>
      <w:bookmarkStart w:id="1" w:name="_GoBack"/>
      <w:r w:rsidRPr="00B80392">
        <w:rPr>
          <w:rFonts w:cs="Arial"/>
          <w:i/>
          <w:iCs/>
          <w:sz w:val="24"/>
          <w:szCs w:val="24"/>
        </w:rPr>
        <w:t xml:space="preserve">1958 </w:t>
      </w:r>
      <w:bookmarkEnd w:id="1"/>
      <w:r>
        <w:rPr>
          <w:rFonts w:cs="Arial"/>
          <w:sz w:val="24"/>
          <w:szCs w:val="24"/>
        </w:rPr>
        <w:t>(</w:t>
      </w:r>
      <w:proofErr w:type="spellStart"/>
      <w:r>
        <w:rPr>
          <w:rFonts w:cs="Arial"/>
          <w:sz w:val="24"/>
          <w:szCs w:val="24"/>
        </w:rPr>
        <w:t>Cth</w:t>
      </w:r>
      <w:proofErr w:type="spellEnd"/>
      <w:r>
        <w:rPr>
          <w:rFonts w:cs="Arial"/>
          <w:sz w:val="24"/>
          <w:szCs w:val="24"/>
        </w:rPr>
        <w:t>) in respect of his criminal record by requiring the Appellant to rebut a presumption and prove the criminal record had been considered.</w:t>
      </w:r>
    </w:p>
    <w:p w14:paraId="1D3BFAE2" w14:textId="77777777" w:rsidR="00A125AB" w:rsidRDefault="00A125AB" w:rsidP="00A125AB">
      <w:pPr>
        <w:pStyle w:val="ListParagraph"/>
        <w:ind w:left="780"/>
        <w:jc w:val="both"/>
        <w:rPr>
          <w:rFonts w:cs="Arial"/>
          <w:sz w:val="24"/>
          <w:szCs w:val="24"/>
        </w:rPr>
      </w:pPr>
    </w:p>
    <w:p w14:paraId="211473FD" w14:textId="77777777" w:rsidR="00A125AB" w:rsidRPr="005D0F32" w:rsidRDefault="00A125AB" w:rsidP="00A125AB">
      <w:pPr>
        <w:pStyle w:val="ListParagraph"/>
        <w:numPr>
          <w:ilvl w:val="0"/>
          <w:numId w:val="12"/>
        </w:numPr>
        <w:jc w:val="both"/>
        <w:rPr>
          <w:rFonts w:cs="Arial"/>
          <w:sz w:val="24"/>
          <w:szCs w:val="24"/>
        </w:rPr>
      </w:pPr>
      <w:r>
        <w:rPr>
          <w:rFonts w:cs="Arial"/>
          <w:sz w:val="24"/>
          <w:szCs w:val="24"/>
        </w:rPr>
        <w:t>The Federal Court erred in finding that the denial of procedural fairness was not material by erroneously holding that only ‘dishonesty offences’ were capable of adversely impacting upon the credibility of the Appellant in the Tribunal proceedings.</w:t>
      </w:r>
    </w:p>
    <w:p w14:paraId="28B27A1E" w14:textId="77777777" w:rsidR="00A125AB" w:rsidRDefault="00A125AB" w:rsidP="00A125AB">
      <w:pPr>
        <w:jc w:val="both"/>
        <w:rPr>
          <w:rFonts w:cs="Arial"/>
          <w:szCs w:val="24"/>
        </w:rPr>
      </w:pPr>
    </w:p>
    <w:p w14:paraId="364F87C3" w14:textId="1E226457" w:rsidR="00A125AB" w:rsidRDefault="00A125AB">
      <w:r>
        <w:br w:type="page"/>
      </w:r>
    </w:p>
    <w:p w14:paraId="53FE4598" w14:textId="77777777" w:rsidR="001D63AD" w:rsidRPr="00356E37" w:rsidRDefault="001D63AD" w:rsidP="001D63AD">
      <w:pPr>
        <w:pStyle w:val="NoSpacing"/>
        <w:rPr>
          <w:rFonts w:ascii="Arial" w:eastAsia="Times New Roman" w:hAnsi="Arial" w:cs="Arial"/>
          <w:b/>
          <w:color w:val="000000"/>
          <w:sz w:val="24"/>
          <w:szCs w:val="24"/>
          <w:lang w:eastAsia="en-AU"/>
        </w:rPr>
      </w:pPr>
      <w:r>
        <w:rPr>
          <w:rFonts w:ascii="Arial" w:eastAsia="Times New Roman" w:hAnsi="Arial" w:cs="Arial"/>
          <w:b/>
          <w:color w:val="000000"/>
          <w:sz w:val="24"/>
          <w:szCs w:val="24"/>
          <w:u w:val="single"/>
          <w:lang w:eastAsia="en-AU"/>
        </w:rPr>
        <w:lastRenderedPageBreak/>
        <w:t xml:space="preserve">TALACKO v TALACKO &amp; </w:t>
      </w:r>
      <w:proofErr w:type="gramStart"/>
      <w:r>
        <w:rPr>
          <w:rFonts w:ascii="Arial" w:eastAsia="Times New Roman" w:hAnsi="Arial" w:cs="Arial"/>
          <w:b/>
          <w:color w:val="000000"/>
          <w:sz w:val="24"/>
          <w:szCs w:val="24"/>
          <w:u w:val="single"/>
          <w:lang w:eastAsia="en-AU"/>
        </w:rPr>
        <w:t>ORS</w:t>
      </w:r>
      <w:r>
        <w:rPr>
          <w:rFonts w:ascii="Arial" w:eastAsia="Times New Roman" w:hAnsi="Arial" w:cs="Arial"/>
          <w:b/>
          <w:color w:val="000000"/>
          <w:sz w:val="24"/>
          <w:szCs w:val="24"/>
          <w:lang w:eastAsia="en-AU"/>
        </w:rPr>
        <w:t xml:space="preserve">  </w:t>
      </w:r>
      <w:r w:rsidRPr="00356E37">
        <w:rPr>
          <w:rFonts w:ascii="Arial" w:eastAsia="Times New Roman" w:hAnsi="Arial" w:cs="Arial"/>
          <w:b/>
          <w:color w:val="000000"/>
          <w:sz w:val="24"/>
          <w:szCs w:val="24"/>
          <w:lang w:eastAsia="en-AU"/>
        </w:rPr>
        <w:t>(</w:t>
      </w:r>
      <w:proofErr w:type="gramEnd"/>
      <w:r w:rsidRPr="00356E37">
        <w:rPr>
          <w:rFonts w:ascii="Arial" w:eastAsia="Times New Roman" w:hAnsi="Arial" w:cs="Arial"/>
          <w:b/>
          <w:color w:val="000000"/>
          <w:sz w:val="24"/>
          <w:szCs w:val="24"/>
          <w:lang w:eastAsia="en-AU"/>
        </w:rPr>
        <w:t>M111/2020)</w:t>
      </w:r>
    </w:p>
    <w:p w14:paraId="5CC0C1DE" w14:textId="77777777" w:rsidR="001D63AD" w:rsidRPr="00E651B8" w:rsidRDefault="001D63AD" w:rsidP="001D63AD">
      <w:pPr>
        <w:ind w:left="2694" w:hanging="2694"/>
        <w:jc w:val="both"/>
        <w:rPr>
          <w:rFonts w:cs="Arial"/>
          <w:szCs w:val="24"/>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1"/>
        <w:gridCol w:w="3302"/>
        <w:gridCol w:w="2177"/>
      </w:tblGrid>
      <w:tr w:rsidR="001D63AD" w14:paraId="093B38E1" w14:textId="77777777" w:rsidTr="004D31EA">
        <w:tc>
          <w:tcPr>
            <w:tcW w:w="3021" w:type="dxa"/>
          </w:tcPr>
          <w:p w14:paraId="69DA3FD5" w14:textId="77777777" w:rsidR="001D63AD" w:rsidRDefault="001D63AD" w:rsidP="00AC341F">
            <w:pPr>
              <w:rPr>
                <w:rFonts w:cs="Arial"/>
                <w:szCs w:val="24"/>
                <w:u w:val="single"/>
              </w:rPr>
            </w:pPr>
            <w:r w:rsidRPr="00531CC5">
              <w:rPr>
                <w:rFonts w:cs="Arial"/>
                <w:b/>
                <w:szCs w:val="24"/>
                <w:u w:val="single"/>
              </w:rPr>
              <w:t>Court appealed from</w:t>
            </w:r>
            <w:r w:rsidRPr="00125671">
              <w:rPr>
                <w:rFonts w:cs="Arial"/>
                <w:szCs w:val="24"/>
              </w:rPr>
              <w:t>:</w:t>
            </w:r>
          </w:p>
        </w:tc>
        <w:tc>
          <w:tcPr>
            <w:tcW w:w="3302" w:type="dxa"/>
          </w:tcPr>
          <w:p w14:paraId="74CFB494" w14:textId="77777777" w:rsidR="001D63AD" w:rsidRDefault="001D63AD" w:rsidP="00AC341F">
            <w:pPr>
              <w:rPr>
                <w:rFonts w:cs="Arial"/>
                <w:szCs w:val="24"/>
                <w:u w:val="single"/>
              </w:rPr>
            </w:pPr>
            <w:r w:rsidRPr="00531CC5">
              <w:rPr>
                <w:rFonts w:cs="Arial"/>
                <w:b/>
                <w:szCs w:val="24"/>
                <w:u w:val="single"/>
              </w:rPr>
              <w:t>Date of judgment</w:t>
            </w:r>
            <w:r w:rsidRPr="00125671">
              <w:rPr>
                <w:rFonts w:cs="Arial"/>
                <w:szCs w:val="24"/>
              </w:rPr>
              <w:t>:</w:t>
            </w:r>
          </w:p>
        </w:tc>
        <w:tc>
          <w:tcPr>
            <w:tcW w:w="2177" w:type="dxa"/>
          </w:tcPr>
          <w:p w14:paraId="5F4F88AD" w14:textId="77777777" w:rsidR="001D63AD" w:rsidRPr="00531CC5" w:rsidRDefault="001D63AD" w:rsidP="00AC341F">
            <w:pPr>
              <w:rPr>
                <w:rFonts w:cs="Arial"/>
                <w:b/>
                <w:szCs w:val="24"/>
                <w:u w:val="single"/>
              </w:rPr>
            </w:pPr>
            <w:r w:rsidRPr="00531CC5">
              <w:rPr>
                <w:rFonts w:cs="Arial"/>
                <w:b/>
                <w:szCs w:val="24"/>
                <w:u w:val="single"/>
              </w:rPr>
              <w:t>Special leave granted</w:t>
            </w:r>
            <w:r w:rsidRPr="00531CC5">
              <w:rPr>
                <w:rFonts w:cs="Arial"/>
                <w:b/>
                <w:szCs w:val="24"/>
              </w:rPr>
              <w:t>:</w:t>
            </w:r>
          </w:p>
        </w:tc>
      </w:tr>
      <w:tr w:rsidR="001D63AD" w14:paraId="2CE0A692" w14:textId="77777777" w:rsidTr="004D31EA">
        <w:tc>
          <w:tcPr>
            <w:tcW w:w="3021" w:type="dxa"/>
          </w:tcPr>
          <w:p w14:paraId="4001D605" w14:textId="77777777" w:rsidR="001D63AD" w:rsidRPr="00356E37" w:rsidRDefault="001D63AD" w:rsidP="00AC341F">
            <w:pPr>
              <w:rPr>
                <w:rFonts w:cs="Arial"/>
                <w:iCs/>
                <w:szCs w:val="24"/>
                <w:u w:val="single"/>
              </w:rPr>
            </w:pPr>
            <w:r w:rsidRPr="00356E37">
              <w:rPr>
                <w:rFonts w:cs="Arial"/>
                <w:iCs/>
                <w:szCs w:val="24"/>
              </w:rPr>
              <w:t>Supreme Court of Victoria (Court of Appeal)</w:t>
            </w:r>
          </w:p>
        </w:tc>
        <w:tc>
          <w:tcPr>
            <w:tcW w:w="3302" w:type="dxa"/>
          </w:tcPr>
          <w:p w14:paraId="217C6632" w14:textId="77777777" w:rsidR="001D63AD" w:rsidRDefault="001D63AD" w:rsidP="00AC341F">
            <w:pPr>
              <w:rPr>
                <w:rFonts w:cs="Arial"/>
                <w:szCs w:val="24"/>
              </w:rPr>
            </w:pPr>
          </w:p>
        </w:tc>
        <w:tc>
          <w:tcPr>
            <w:tcW w:w="2177" w:type="dxa"/>
          </w:tcPr>
          <w:p w14:paraId="3C69409D" w14:textId="77777777" w:rsidR="001D63AD" w:rsidRDefault="001D63AD" w:rsidP="00AC341F">
            <w:pPr>
              <w:rPr>
                <w:rFonts w:cs="Arial"/>
                <w:szCs w:val="24"/>
              </w:rPr>
            </w:pPr>
          </w:p>
        </w:tc>
      </w:tr>
      <w:tr w:rsidR="001D63AD" w14:paraId="2831B59E" w14:textId="77777777" w:rsidTr="004D31EA">
        <w:tc>
          <w:tcPr>
            <w:tcW w:w="3021" w:type="dxa"/>
          </w:tcPr>
          <w:p w14:paraId="4162F938" w14:textId="77777777" w:rsidR="001D63AD" w:rsidRDefault="001D63AD" w:rsidP="00AC341F">
            <w:pPr>
              <w:rPr>
                <w:rFonts w:cs="Arial"/>
                <w:szCs w:val="24"/>
                <w:u w:val="single"/>
              </w:rPr>
            </w:pPr>
            <w:r>
              <w:rPr>
                <w:rFonts w:cs="Arial"/>
                <w:szCs w:val="24"/>
              </w:rPr>
              <w:t>[2020] VSCA 99</w:t>
            </w:r>
          </w:p>
        </w:tc>
        <w:tc>
          <w:tcPr>
            <w:tcW w:w="3302" w:type="dxa"/>
          </w:tcPr>
          <w:p w14:paraId="0CFFAC71" w14:textId="77777777" w:rsidR="001D63AD" w:rsidRDefault="001D63AD" w:rsidP="00AC341F">
            <w:pPr>
              <w:rPr>
                <w:rFonts w:cs="Arial"/>
                <w:szCs w:val="24"/>
                <w:u w:val="single"/>
              </w:rPr>
            </w:pPr>
            <w:r>
              <w:rPr>
                <w:rFonts w:cs="Arial"/>
                <w:szCs w:val="24"/>
              </w:rPr>
              <w:t>30 April 2020, 5 May 2020</w:t>
            </w:r>
          </w:p>
        </w:tc>
        <w:tc>
          <w:tcPr>
            <w:tcW w:w="2177" w:type="dxa"/>
          </w:tcPr>
          <w:p w14:paraId="47872F63" w14:textId="77777777" w:rsidR="001D63AD" w:rsidRDefault="001D63AD" w:rsidP="00AC341F">
            <w:pPr>
              <w:rPr>
                <w:rFonts w:cs="Arial"/>
                <w:szCs w:val="24"/>
                <w:u w:val="single"/>
              </w:rPr>
            </w:pPr>
            <w:r>
              <w:rPr>
                <w:rFonts w:cs="Arial"/>
                <w:szCs w:val="24"/>
              </w:rPr>
              <w:t>22 October 2020</w:t>
            </w:r>
          </w:p>
        </w:tc>
      </w:tr>
      <w:tr w:rsidR="001D63AD" w14:paraId="0E329643" w14:textId="77777777" w:rsidTr="004D31EA">
        <w:tc>
          <w:tcPr>
            <w:tcW w:w="3021" w:type="dxa"/>
          </w:tcPr>
          <w:p w14:paraId="16114146" w14:textId="77777777" w:rsidR="001D63AD" w:rsidRDefault="001D63AD" w:rsidP="00AC341F">
            <w:pPr>
              <w:rPr>
                <w:rFonts w:cs="Arial"/>
                <w:szCs w:val="24"/>
                <w:u w:val="single"/>
              </w:rPr>
            </w:pPr>
            <w:r>
              <w:rPr>
                <w:rFonts w:cs="Arial"/>
                <w:szCs w:val="24"/>
              </w:rPr>
              <w:t>[2017] VSCA 163</w:t>
            </w:r>
          </w:p>
        </w:tc>
        <w:tc>
          <w:tcPr>
            <w:tcW w:w="3302" w:type="dxa"/>
          </w:tcPr>
          <w:p w14:paraId="2F01C9DC" w14:textId="77777777" w:rsidR="001D63AD" w:rsidRPr="003130C0" w:rsidRDefault="001D63AD" w:rsidP="00AC341F">
            <w:pPr>
              <w:ind w:left="2552" w:hanging="2552"/>
              <w:rPr>
                <w:rFonts w:cs="Arial"/>
                <w:szCs w:val="24"/>
              </w:rPr>
            </w:pPr>
            <w:r>
              <w:rPr>
                <w:rFonts w:cs="Arial"/>
                <w:szCs w:val="24"/>
              </w:rPr>
              <w:t>27 June 2017</w:t>
            </w:r>
          </w:p>
        </w:tc>
        <w:tc>
          <w:tcPr>
            <w:tcW w:w="2177" w:type="dxa"/>
          </w:tcPr>
          <w:p w14:paraId="72A9D5EF" w14:textId="77777777" w:rsidR="001D63AD" w:rsidRDefault="001D63AD" w:rsidP="00AC341F">
            <w:pPr>
              <w:rPr>
                <w:rFonts w:cs="Arial"/>
                <w:szCs w:val="24"/>
              </w:rPr>
            </w:pPr>
            <w:r>
              <w:rPr>
                <w:rFonts w:cs="Arial"/>
                <w:szCs w:val="24"/>
              </w:rPr>
              <w:t>16 October 2020</w:t>
            </w:r>
          </w:p>
          <w:p w14:paraId="788129EE" w14:textId="77777777" w:rsidR="001D63AD" w:rsidRDefault="001D63AD" w:rsidP="00AC341F">
            <w:pPr>
              <w:rPr>
                <w:rFonts w:cs="Arial"/>
                <w:szCs w:val="24"/>
                <w:u w:val="single"/>
              </w:rPr>
            </w:pPr>
          </w:p>
        </w:tc>
      </w:tr>
      <w:tr w:rsidR="001D63AD" w14:paraId="143F572A" w14:textId="77777777" w:rsidTr="004D31EA">
        <w:tc>
          <w:tcPr>
            <w:tcW w:w="3021" w:type="dxa"/>
          </w:tcPr>
          <w:p w14:paraId="45BB3320" w14:textId="77777777" w:rsidR="001D63AD" w:rsidRPr="00356E37" w:rsidRDefault="001D63AD" w:rsidP="00AC341F">
            <w:pPr>
              <w:rPr>
                <w:rFonts w:cs="Arial"/>
                <w:iCs/>
                <w:szCs w:val="24"/>
                <w:u w:val="single"/>
              </w:rPr>
            </w:pPr>
            <w:r w:rsidRPr="00356E37">
              <w:rPr>
                <w:rFonts w:cs="Arial"/>
                <w:iCs/>
                <w:szCs w:val="24"/>
              </w:rPr>
              <w:t>Supreme Court of Victoria</w:t>
            </w:r>
          </w:p>
        </w:tc>
        <w:tc>
          <w:tcPr>
            <w:tcW w:w="3302" w:type="dxa"/>
          </w:tcPr>
          <w:p w14:paraId="39A5219A" w14:textId="77777777" w:rsidR="001D63AD" w:rsidRPr="003130C0" w:rsidRDefault="001D63AD" w:rsidP="00AC341F">
            <w:pPr>
              <w:rPr>
                <w:rFonts w:cs="Arial"/>
                <w:szCs w:val="24"/>
              </w:rPr>
            </w:pPr>
          </w:p>
        </w:tc>
        <w:tc>
          <w:tcPr>
            <w:tcW w:w="2177" w:type="dxa"/>
          </w:tcPr>
          <w:p w14:paraId="0F06D5A8" w14:textId="77777777" w:rsidR="001D63AD" w:rsidRDefault="001D63AD" w:rsidP="00AC341F">
            <w:pPr>
              <w:rPr>
                <w:rFonts w:cs="Arial"/>
                <w:szCs w:val="24"/>
              </w:rPr>
            </w:pPr>
          </w:p>
        </w:tc>
      </w:tr>
      <w:tr w:rsidR="001D63AD" w14:paraId="53D49A51" w14:textId="77777777" w:rsidTr="004D31EA">
        <w:tc>
          <w:tcPr>
            <w:tcW w:w="3021" w:type="dxa"/>
          </w:tcPr>
          <w:p w14:paraId="5CFFA486" w14:textId="77777777" w:rsidR="001D63AD" w:rsidRDefault="001D63AD" w:rsidP="00AC341F">
            <w:pPr>
              <w:rPr>
                <w:rFonts w:cs="Arial"/>
                <w:szCs w:val="24"/>
              </w:rPr>
            </w:pPr>
            <w:r>
              <w:rPr>
                <w:rFonts w:cs="Arial"/>
                <w:szCs w:val="24"/>
              </w:rPr>
              <w:t>[2018] VSC 807(and 751)</w:t>
            </w:r>
          </w:p>
          <w:p w14:paraId="56578058" w14:textId="77777777" w:rsidR="001D63AD" w:rsidRDefault="001D63AD" w:rsidP="00AC341F">
            <w:pPr>
              <w:rPr>
                <w:rFonts w:cs="Arial"/>
                <w:szCs w:val="24"/>
                <w:u w:val="single"/>
              </w:rPr>
            </w:pPr>
          </w:p>
        </w:tc>
        <w:tc>
          <w:tcPr>
            <w:tcW w:w="3302" w:type="dxa"/>
          </w:tcPr>
          <w:p w14:paraId="75E39DBC" w14:textId="77777777" w:rsidR="001D63AD" w:rsidRPr="003130C0" w:rsidRDefault="001D63AD" w:rsidP="00AC341F">
            <w:pPr>
              <w:rPr>
                <w:rFonts w:cs="Arial"/>
                <w:szCs w:val="24"/>
              </w:rPr>
            </w:pPr>
            <w:r w:rsidRPr="003130C0">
              <w:rPr>
                <w:rFonts w:cs="Arial"/>
                <w:szCs w:val="24"/>
              </w:rPr>
              <w:t>20 December 2018</w:t>
            </w:r>
          </w:p>
        </w:tc>
        <w:tc>
          <w:tcPr>
            <w:tcW w:w="2177" w:type="dxa"/>
          </w:tcPr>
          <w:p w14:paraId="38273979" w14:textId="77777777" w:rsidR="001D63AD" w:rsidRDefault="001D63AD" w:rsidP="00AC341F">
            <w:pPr>
              <w:rPr>
                <w:rFonts w:cs="Arial"/>
                <w:szCs w:val="24"/>
                <w:u w:val="single"/>
              </w:rPr>
            </w:pPr>
            <w:r>
              <w:rPr>
                <w:rFonts w:cs="Arial"/>
                <w:szCs w:val="24"/>
              </w:rPr>
              <w:t>16 October 2020</w:t>
            </w:r>
          </w:p>
        </w:tc>
      </w:tr>
    </w:tbl>
    <w:p w14:paraId="1E30FA95" w14:textId="77777777" w:rsidR="001D63AD" w:rsidRDefault="001D63AD" w:rsidP="001D63AD">
      <w:pPr>
        <w:jc w:val="both"/>
        <w:rPr>
          <w:rFonts w:cs="Arial"/>
          <w:szCs w:val="24"/>
        </w:rPr>
      </w:pPr>
    </w:p>
    <w:p w14:paraId="5809E1D8" w14:textId="0F5FD6A3" w:rsidR="001D63AD" w:rsidRDefault="001D63AD" w:rsidP="001D63AD">
      <w:pPr>
        <w:pStyle w:val="NormalWeb"/>
        <w:spacing w:before="0" w:beforeAutospacing="0" w:after="0" w:afterAutospacing="0"/>
        <w:jc w:val="both"/>
        <w:rPr>
          <w:rFonts w:ascii="Arial" w:hAnsi="Arial" w:cs="Arial"/>
        </w:rPr>
      </w:pPr>
      <w:r w:rsidRPr="000A1959">
        <w:rPr>
          <w:rFonts w:ascii="Arial" w:hAnsi="Arial" w:cs="Arial"/>
        </w:rPr>
        <w:t xml:space="preserve">Before World War II, Anna and Alois </w:t>
      </w:r>
      <w:proofErr w:type="spellStart"/>
      <w:r w:rsidRPr="000A1959">
        <w:rPr>
          <w:rFonts w:ascii="Arial" w:hAnsi="Arial" w:cs="Arial"/>
        </w:rPr>
        <w:t>Talacko</w:t>
      </w:r>
      <w:proofErr w:type="spellEnd"/>
      <w:r w:rsidRPr="000A1959">
        <w:rPr>
          <w:rFonts w:ascii="Arial" w:hAnsi="Arial" w:cs="Arial"/>
        </w:rPr>
        <w:t xml:space="preserve"> owned several properties in the Czech Republic, Slovakia and Germany, which were expropriated by the communists.  The couple came to Australia and lived here with their three children.  In 1989 the collapse of communism opened the way to the restitution of the </w:t>
      </w:r>
      <w:r w:rsidRPr="00CA4631">
        <w:rPr>
          <w:rFonts w:ascii="Arial" w:hAnsi="Arial" w:cs="Arial"/>
        </w:rPr>
        <w:t>properties.  Their parents having died, the three children discussed applying for their restitution and sharing them or the proceeds of them.  One</w:t>
      </w:r>
      <w:r w:rsidRPr="000A1959">
        <w:rPr>
          <w:rFonts w:ascii="Arial" w:hAnsi="Arial" w:cs="Arial"/>
        </w:rPr>
        <w:t xml:space="preserve"> of the sons, Jan </w:t>
      </w:r>
      <w:proofErr w:type="spellStart"/>
      <w:r w:rsidRPr="000A1959">
        <w:rPr>
          <w:rFonts w:ascii="Arial" w:hAnsi="Arial" w:cs="Arial"/>
        </w:rPr>
        <w:t>Talacko</w:t>
      </w:r>
      <w:proofErr w:type="spellEnd"/>
      <w:r w:rsidRPr="000A1959">
        <w:rPr>
          <w:rFonts w:ascii="Arial" w:hAnsi="Arial" w:cs="Arial"/>
        </w:rPr>
        <w:t xml:space="preserve">, managed to secure all the available properties in his own name, and denied his brother and sister any entitlement.  </w:t>
      </w:r>
    </w:p>
    <w:p w14:paraId="0E2A12C2" w14:textId="77777777" w:rsidR="001D63AD" w:rsidRDefault="001D63AD" w:rsidP="001D63AD">
      <w:pPr>
        <w:pStyle w:val="NormalWeb"/>
        <w:spacing w:before="0" w:beforeAutospacing="0" w:after="0" w:afterAutospacing="0"/>
        <w:jc w:val="both"/>
        <w:rPr>
          <w:rFonts w:ascii="Arial" w:hAnsi="Arial" w:cs="Arial"/>
        </w:rPr>
      </w:pPr>
    </w:p>
    <w:p w14:paraId="7F1E568B" w14:textId="6AB9ED39" w:rsidR="001D63AD" w:rsidRPr="00085E2A" w:rsidRDefault="001D63AD" w:rsidP="001D63AD">
      <w:pPr>
        <w:pStyle w:val="NormalWeb"/>
        <w:spacing w:before="0" w:beforeAutospacing="0" w:after="0" w:afterAutospacing="0"/>
        <w:jc w:val="both"/>
        <w:rPr>
          <w:rFonts w:ascii="Arial" w:hAnsi="Arial" w:cs="Arial"/>
          <w:highlight w:val="green"/>
          <w:u w:val="single"/>
        </w:rPr>
      </w:pPr>
      <w:r w:rsidRPr="000A1959">
        <w:rPr>
          <w:rFonts w:ascii="Arial" w:hAnsi="Arial" w:cs="Arial"/>
        </w:rPr>
        <w:t xml:space="preserve">In 1998 the excluded children commenced proceedings in the Supreme Court of Victoria against him.  The proceedings </w:t>
      </w:r>
      <w:r>
        <w:rPr>
          <w:rFonts w:ascii="Arial" w:hAnsi="Arial" w:cs="Arial"/>
        </w:rPr>
        <w:t xml:space="preserve">were </w:t>
      </w:r>
      <w:r w:rsidRPr="000A1959">
        <w:rPr>
          <w:rFonts w:ascii="Arial" w:hAnsi="Arial" w:cs="Arial"/>
        </w:rPr>
        <w:t>settled by agreement that all parties were to share in the fruits of the restitution.</w:t>
      </w:r>
      <w:r>
        <w:rPr>
          <w:rFonts w:ascii="Arial" w:hAnsi="Arial" w:cs="Arial"/>
        </w:rPr>
        <w:t xml:space="preserve">  </w:t>
      </w:r>
      <w:r w:rsidRPr="008C2577">
        <w:rPr>
          <w:rFonts w:ascii="Arial" w:hAnsi="Arial" w:cs="Arial"/>
        </w:rPr>
        <w:t xml:space="preserve">When Jan </w:t>
      </w:r>
      <w:proofErr w:type="spellStart"/>
      <w:r w:rsidRPr="008C2577">
        <w:rPr>
          <w:rFonts w:ascii="Arial" w:hAnsi="Arial" w:cs="Arial"/>
        </w:rPr>
        <w:t>Talacko</w:t>
      </w:r>
      <w:proofErr w:type="spellEnd"/>
      <w:r w:rsidRPr="008C2577">
        <w:rPr>
          <w:rFonts w:ascii="Arial" w:hAnsi="Arial" w:cs="Arial"/>
        </w:rPr>
        <w:t xml:space="preserve"> failed to perform his part of the </w:t>
      </w:r>
      <w:r>
        <w:rPr>
          <w:rFonts w:ascii="Arial" w:hAnsi="Arial" w:cs="Arial"/>
        </w:rPr>
        <w:t>settlement</w:t>
      </w:r>
      <w:r w:rsidRPr="008C2577">
        <w:rPr>
          <w:rFonts w:ascii="Arial" w:hAnsi="Arial" w:cs="Arial"/>
        </w:rPr>
        <w:t xml:space="preserve">, the respondents had the proceedings reinstated.  </w:t>
      </w:r>
    </w:p>
    <w:p w14:paraId="49EB09EE" w14:textId="77777777" w:rsidR="001D63AD" w:rsidRPr="008C2577" w:rsidRDefault="001D63AD" w:rsidP="001D63AD">
      <w:pPr>
        <w:pStyle w:val="NormalWeb"/>
        <w:spacing w:before="0" w:beforeAutospacing="0" w:after="0" w:afterAutospacing="0"/>
        <w:jc w:val="both"/>
        <w:rPr>
          <w:rFonts w:ascii="Arial" w:hAnsi="Arial" w:cs="Arial"/>
        </w:rPr>
      </w:pPr>
    </w:p>
    <w:p w14:paraId="58E8DDFB" w14:textId="79CEA4E1" w:rsidR="001D63AD" w:rsidRDefault="001D63AD" w:rsidP="001D63AD">
      <w:pPr>
        <w:pStyle w:val="NormalWeb"/>
        <w:spacing w:before="0" w:beforeAutospacing="0" w:after="0" w:afterAutospacing="0"/>
        <w:jc w:val="both"/>
        <w:rPr>
          <w:rFonts w:ascii="Arial" w:hAnsi="Arial" w:cs="Arial"/>
        </w:rPr>
      </w:pPr>
      <w:r>
        <w:rPr>
          <w:rFonts w:ascii="Arial" w:hAnsi="Arial" w:cs="Arial"/>
        </w:rPr>
        <w:t>On 24 April 2008 t</w:t>
      </w:r>
      <w:r w:rsidRPr="008C2577">
        <w:rPr>
          <w:rFonts w:ascii="Arial" w:hAnsi="Arial" w:cs="Arial"/>
        </w:rPr>
        <w:t>he</w:t>
      </w:r>
      <w:r>
        <w:rPr>
          <w:rFonts w:ascii="Arial" w:hAnsi="Arial" w:cs="Arial"/>
        </w:rPr>
        <w:t xml:space="preserve"> respondents in the </w:t>
      </w:r>
      <w:r w:rsidRPr="00CA4631">
        <w:rPr>
          <w:rFonts w:ascii="Arial" w:hAnsi="Arial" w:cs="Arial"/>
        </w:rPr>
        <w:t xml:space="preserve">reinstated Supreme Court case secured orders that Jan </w:t>
      </w:r>
      <w:proofErr w:type="spellStart"/>
      <w:r>
        <w:rPr>
          <w:rFonts w:ascii="Arial" w:hAnsi="Arial" w:cs="Arial"/>
        </w:rPr>
        <w:t>Talacko</w:t>
      </w:r>
      <w:proofErr w:type="spellEnd"/>
      <w:r>
        <w:rPr>
          <w:rFonts w:ascii="Arial" w:hAnsi="Arial" w:cs="Arial"/>
        </w:rPr>
        <w:t xml:space="preserve"> </w:t>
      </w:r>
      <w:r w:rsidRPr="00CA4631">
        <w:rPr>
          <w:rFonts w:ascii="Arial" w:hAnsi="Arial" w:cs="Arial"/>
        </w:rPr>
        <w:t>had breached the terms of the settlement and that he pay them equitable compensation. Kyrou</w:t>
      </w:r>
      <w:r>
        <w:rPr>
          <w:rFonts w:cs="Arial"/>
          <w:iCs/>
        </w:rPr>
        <w:t> </w:t>
      </w:r>
      <w:r w:rsidRPr="00CA4631">
        <w:rPr>
          <w:rFonts w:ascii="Arial" w:hAnsi="Arial" w:cs="Arial"/>
        </w:rPr>
        <w:t>J la</w:t>
      </w:r>
      <w:r>
        <w:rPr>
          <w:rFonts w:ascii="Arial" w:hAnsi="Arial" w:cs="Arial"/>
        </w:rPr>
        <w:t>t</w:t>
      </w:r>
      <w:r w:rsidRPr="00CA4631">
        <w:rPr>
          <w:rFonts w:ascii="Arial" w:hAnsi="Arial" w:cs="Arial"/>
        </w:rPr>
        <w:t>er assessed this compensation at approximately €10 million (‘the Kyrou</w:t>
      </w:r>
      <w:r>
        <w:rPr>
          <w:rFonts w:cs="Arial"/>
          <w:iCs/>
        </w:rPr>
        <w:t> </w:t>
      </w:r>
      <w:r w:rsidRPr="00CA4631">
        <w:rPr>
          <w:rFonts w:ascii="Arial" w:hAnsi="Arial" w:cs="Arial"/>
        </w:rPr>
        <w:t>J judgment’).  The respondents then commenced proceedings in the Czech Republic to enforce the judgment of the Supreme Court of Victoria.  In order to facilitate these proceedings, the respondents applied to the Prothonotary of the Supreme Court for the issue of certificates under s</w:t>
      </w:r>
      <w:r w:rsidRPr="00CA4631">
        <w:rPr>
          <w:rFonts w:cs="Arial"/>
        </w:rPr>
        <w:t> </w:t>
      </w:r>
      <w:r w:rsidRPr="00CA4631">
        <w:rPr>
          <w:rFonts w:ascii="Arial" w:hAnsi="Arial" w:cs="Arial"/>
        </w:rPr>
        <w:t xml:space="preserve">15 of the </w:t>
      </w:r>
      <w:r w:rsidRPr="00CA4631">
        <w:rPr>
          <w:rFonts w:ascii="Arial" w:hAnsi="Arial" w:cs="Arial"/>
          <w:i/>
        </w:rPr>
        <w:t>Foreign Judgments Act</w:t>
      </w:r>
      <w:r w:rsidRPr="00CA4631">
        <w:rPr>
          <w:rFonts w:ascii="Arial" w:hAnsi="Arial" w:cs="Arial"/>
        </w:rPr>
        <w:t xml:space="preserve"> </w:t>
      </w:r>
      <w:r w:rsidRPr="004E01F2">
        <w:rPr>
          <w:rFonts w:ascii="Arial" w:hAnsi="Arial" w:cs="Arial"/>
          <w:i/>
          <w:iCs/>
        </w:rPr>
        <w:t>1991</w:t>
      </w:r>
      <w:r w:rsidRPr="00CA4631">
        <w:rPr>
          <w:rFonts w:ascii="Arial" w:hAnsi="Arial" w:cs="Arial"/>
        </w:rPr>
        <w:t xml:space="preserve"> (</w:t>
      </w:r>
      <w:proofErr w:type="spellStart"/>
      <w:r w:rsidRPr="00CA4631">
        <w:rPr>
          <w:rFonts w:ascii="Arial" w:hAnsi="Arial" w:cs="Arial"/>
        </w:rPr>
        <w:t>Cth</w:t>
      </w:r>
      <w:proofErr w:type="spellEnd"/>
      <w:r w:rsidRPr="00CA4631">
        <w:rPr>
          <w:rFonts w:ascii="Arial" w:hAnsi="Arial" w:cs="Arial"/>
        </w:rPr>
        <w:t xml:space="preserve">). </w:t>
      </w:r>
      <w:r>
        <w:rPr>
          <w:rFonts w:ascii="Arial" w:hAnsi="Arial" w:cs="Arial"/>
        </w:rPr>
        <w:t xml:space="preserve"> </w:t>
      </w:r>
      <w:r w:rsidRPr="00CA4631">
        <w:rPr>
          <w:rFonts w:ascii="Arial" w:hAnsi="Arial" w:cs="Arial"/>
        </w:rPr>
        <w:t xml:space="preserve">Those certificates were the subject of subsequent appeals which resulted in the High Court judgment in </w:t>
      </w:r>
      <w:proofErr w:type="spellStart"/>
      <w:r w:rsidRPr="00CA4631">
        <w:rPr>
          <w:rFonts w:ascii="Arial" w:hAnsi="Arial" w:cs="Arial"/>
          <w:i/>
        </w:rPr>
        <w:t>Talacko</w:t>
      </w:r>
      <w:proofErr w:type="spellEnd"/>
      <w:r w:rsidRPr="00CA4631">
        <w:rPr>
          <w:rFonts w:ascii="Arial" w:hAnsi="Arial" w:cs="Arial"/>
          <w:i/>
        </w:rPr>
        <w:t xml:space="preserve"> v Bennett &amp; </w:t>
      </w:r>
      <w:proofErr w:type="spellStart"/>
      <w:r w:rsidRPr="00CA4631">
        <w:rPr>
          <w:rFonts w:ascii="Arial" w:hAnsi="Arial" w:cs="Arial"/>
          <w:i/>
        </w:rPr>
        <w:t>Ors</w:t>
      </w:r>
      <w:proofErr w:type="spellEnd"/>
      <w:r w:rsidRPr="00CA4631">
        <w:rPr>
          <w:rFonts w:ascii="Arial" w:hAnsi="Arial" w:cs="Arial"/>
          <w:i/>
        </w:rPr>
        <w:t xml:space="preserve"> </w:t>
      </w:r>
      <w:r w:rsidRPr="00CA4631">
        <w:rPr>
          <w:rFonts w:ascii="Arial" w:hAnsi="Arial" w:cs="Arial"/>
        </w:rPr>
        <w:t xml:space="preserve">[2017] HCA 15. </w:t>
      </w:r>
    </w:p>
    <w:p w14:paraId="7898BCF3" w14:textId="77777777" w:rsidR="001D63AD" w:rsidRPr="00CA4631" w:rsidRDefault="001D63AD" w:rsidP="001D63AD">
      <w:pPr>
        <w:pStyle w:val="NormalWeb"/>
        <w:spacing w:before="0" w:beforeAutospacing="0" w:after="0" w:afterAutospacing="0"/>
        <w:jc w:val="both"/>
        <w:rPr>
          <w:rFonts w:ascii="Arial" w:hAnsi="Arial" w:cs="Arial"/>
        </w:rPr>
      </w:pPr>
    </w:p>
    <w:p w14:paraId="16959D28" w14:textId="079851A4" w:rsidR="001D63AD" w:rsidRDefault="001D63AD" w:rsidP="001D63AD">
      <w:pPr>
        <w:pStyle w:val="NormalWeb"/>
        <w:spacing w:before="0" w:beforeAutospacing="0" w:after="0" w:afterAutospacing="0"/>
        <w:jc w:val="both"/>
        <w:rPr>
          <w:rFonts w:ascii="Arial" w:hAnsi="Arial" w:cs="Arial"/>
        </w:rPr>
      </w:pPr>
      <w:r w:rsidRPr="008C2577">
        <w:rPr>
          <w:rFonts w:ascii="Arial" w:hAnsi="Arial" w:cs="Arial"/>
        </w:rPr>
        <w:t>On 12 May</w:t>
      </w:r>
      <w:r>
        <w:rPr>
          <w:rFonts w:ascii="Arial" w:hAnsi="Arial" w:cs="Arial"/>
        </w:rPr>
        <w:t xml:space="preserve"> 2009 Jan </w:t>
      </w:r>
      <w:proofErr w:type="spellStart"/>
      <w:r>
        <w:rPr>
          <w:rFonts w:ascii="Arial" w:hAnsi="Arial" w:cs="Arial"/>
        </w:rPr>
        <w:t>Talacko</w:t>
      </w:r>
      <w:proofErr w:type="spellEnd"/>
      <w:r>
        <w:rPr>
          <w:rFonts w:ascii="Arial" w:hAnsi="Arial" w:cs="Arial"/>
        </w:rPr>
        <w:t xml:space="preserve"> and his sons executed three donation agreements (the ‘Donation Agreement’) by which he transferred his interest in the properties to them by way of gift.</w:t>
      </w:r>
    </w:p>
    <w:p w14:paraId="04BACA25" w14:textId="77777777" w:rsidR="001D63AD" w:rsidRDefault="001D63AD" w:rsidP="001D63AD">
      <w:pPr>
        <w:pStyle w:val="NormalWeb"/>
        <w:spacing w:before="0" w:beforeAutospacing="0" w:after="0" w:afterAutospacing="0"/>
        <w:jc w:val="both"/>
        <w:rPr>
          <w:rFonts w:ascii="Arial" w:hAnsi="Arial" w:cs="Arial"/>
        </w:rPr>
      </w:pPr>
    </w:p>
    <w:p w14:paraId="0CE9B347" w14:textId="7980A477" w:rsidR="001D63AD" w:rsidRPr="00CA4631" w:rsidRDefault="001D63AD" w:rsidP="001D63AD">
      <w:pPr>
        <w:pStyle w:val="NormalWeb"/>
        <w:spacing w:before="0" w:beforeAutospacing="0" w:after="0" w:afterAutospacing="0"/>
        <w:jc w:val="both"/>
        <w:rPr>
          <w:rFonts w:ascii="Arial" w:hAnsi="Arial" w:cs="Arial"/>
        </w:rPr>
      </w:pPr>
      <w:r w:rsidRPr="00CA4631">
        <w:rPr>
          <w:rFonts w:ascii="Arial" w:hAnsi="Arial" w:cs="Arial"/>
        </w:rPr>
        <w:t>On 17 July 2009 the first to fifth respondent</w:t>
      </w:r>
      <w:r>
        <w:rPr>
          <w:rFonts w:ascii="Arial" w:hAnsi="Arial" w:cs="Arial"/>
        </w:rPr>
        <w:t>s</w:t>
      </w:r>
      <w:r w:rsidRPr="00CA4631">
        <w:rPr>
          <w:rFonts w:ascii="Arial" w:hAnsi="Arial" w:cs="Arial"/>
        </w:rPr>
        <w:t xml:space="preserve"> commenced a further proceeding in the Supreme Court of Victoria against Jan </w:t>
      </w:r>
      <w:proofErr w:type="spellStart"/>
      <w:r w:rsidRPr="00CA4631">
        <w:rPr>
          <w:rFonts w:ascii="Arial" w:hAnsi="Arial" w:cs="Arial"/>
        </w:rPr>
        <w:t>Talacko</w:t>
      </w:r>
      <w:proofErr w:type="spellEnd"/>
      <w:r w:rsidRPr="00CA4631">
        <w:rPr>
          <w:rFonts w:ascii="Arial" w:hAnsi="Arial" w:cs="Arial"/>
        </w:rPr>
        <w:t xml:space="preserve"> and his wife, the appellant. </w:t>
      </w:r>
      <w:r>
        <w:rPr>
          <w:rFonts w:ascii="Arial" w:hAnsi="Arial" w:cs="Arial"/>
        </w:rPr>
        <w:t xml:space="preserve"> In this proceeding they argued that the Donation Agreement had resulted in them losing the chance to recover the money awarded in the Kyrou</w:t>
      </w:r>
      <w:r>
        <w:rPr>
          <w:rFonts w:cs="Arial"/>
          <w:iCs/>
        </w:rPr>
        <w:t> </w:t>
      </w:r>
      <w:r>
        <w:rPr>
          <w:rFonts w:ascii="Arial" w:hAnsi="Arial" w:cs="Arial"/>
        </w:rPr>
        <w:t>J judgment.</w:t>
      </w:r>
    </w:p>
    <w:p w14:paraId="7C8F695B" w14:textId="77777777" w:rsidR="001D63AD" w:rsidRPr="00CA4631" w:rsidRDefault="001D63AD" w:rsidP="001D63AD">
      <w:pPr>
        <w:pStyle w:val="NormalWeb"/>
        <w:spacing w:before="0" w:beforeAutospacing="0" w:after="0" w:afterAutospacing="0"/>
        <w:jc w:val="both"/>
        <w:rPr>
          <w:rFonts w:ascii="Arial" w:hAnsi="Arial" w:cs="Arial"/>
        </w:rPr>
      </w:pPr>
    </w:p>
    <w:p w14:paraId="24C9BB9A" w14:textId="573269A8" w:rsidR="001D63AD" w:rsidRPr="00A54914" w:rsidRDefault="001D63AD" w:rsidP="001D63AD">
      <w:pPr>
        <w:pStyle w:val="NormalWeb"/>
        <w:spacing w:before="0" w:beforeAutospacing="0" w:after="0" w:afterAutospacing="0"/>
        <w:jc w:val="both"/>
        <w:rPr>
          <w:rFonts w:ascii="Arial" w:hAnsi="Arial" w:cs="Arial"/>
          <w:highlight w:val="green"/>
        </w:rPr>
      </w:pPr>
      <w:r w:rsidRPr="00CA4631">
        <w:rPr>
          <w:rFonts w:ascii="Arial" w:hAnsi="Arial" w:cs="Arial"/>
        </w:rPr>
        <w:t xml:space="preserve">On 7 November 2011 the Federal Court of Australia declared Jan </w:t>
      </w:r>
      <w:proofErr w:type="spellStart"/>
      <w:r w:rsidRPr="00CA4631">
        <w:rPr>
          <w:rFonts w:ascii="Arial" w:hAnsi="Arial" w:cs="Arial"/>
        </w:rPr>
        <w:t>Talacko</w:t>
      </w:r>
      <w:proofErr w:type="spellEnd"/>
      <w:r w:rsidRPr="00CA4631">
        <w:rPr>
          <w:rFonts w:ascii="Arial" w:hAnsi="Arial" w:cs="Arial"/>
        </w:rPr>
        <w:t xml:space="preserve"> bankrupt.  He died on 3 November 2014. </w:t>
      </w:r>
    </w:p>
    <w:p w14:paraId="6A2EBA04" w14:textId="74AC075A" w:rsidR="001D63AD" w:rsidRDefault="001D63AD" w:rsidP="001D63AD">
      <w:pPr>
        <w:pStyle w:val="NormalWeb"/>
        <w:spacing w:before="0" w:beforeAutospacing="0" w:after="0" w:afterAutospacing="0"/>
        <w:jc w:val="both"/>
        <w:rPr>
          <w:rFonts w:ascii="Arial" w:hAnsi="Arial" w:cs="Arial"/>
        </w:rPr>
      </w:pPr>
    </w:p>
    <w:p w14:paraId="06A2F086" w14:textId="33F1FCA7" w:rsidR="001D63AD" w:rsidRDefault="001D63AD" w:rsidP="001D63AD">
      <w:pPr>
        <w:pStyle w:val="NormalWeb"/>
        <w:spacing w:before="0" w:beforeAutospacing="0" w:after="0" w:afterAutospacing="0"/>
        <w:jc w:val="both"/>
        <w:rPr>
          <w:rFonts w:ascii="Arial" w:hAnsi="Arial" w:cs="Arial"/>
        </w:rPr>
      </w:pPr>
    </w:p>
    <w:p w14:paraId="65766071" w14:textId="095EBDB9" w:rsidR="001D63AD" w:rsidRDefault="001D63AD" w:rsidP="001D63AD">
      <w:pPr>
        <w:pStyle w:val="NormalWeb"/>
        <w:spacing w:before="0" w:beforeAutospacing="0" w:after="0" w:afterAutospacing="0"/>
        <w:jc w:val="both"/>
        <w:rPr>
          <w:rFonts w:ascii="Arial" w:hAnsi="Arial" w:cs="Arial"/>
        </w:rPr>
      </w:pPr>
    </w:p>
    <w:p w14:paraId="12A1208D" w14:textId="77777777" w:rsidR="001D63AD" w:rsidRDefault="001D63AD" w:rsidP="001D63AD">
      <w:pPr>
        <w:pStyle w:val="NormalWeb"/>
        <w:spacing w:before="0" w:beforeAutospacing="0" w:after="0" w:afterAutospacing="0"/>
        <w:jc w:val="both"/>
        <w:rPr>
          <w:rFonts w:ascii="Arial" w:hAnsi="Arial" w:cs="Arial"/>
        </w:rPr>
      </w:pPr>
    </w:p>
    <w:p w14:paraId="1DA318B3" w14:textId="440C38C2" w:rsidR="001D63AD" w:rsidRDefault="001D63AD" w:rsidP="001D63AD">
      <w:pPr>
        <w:pStyle w:val="NormalWeb"/>
        <w:spacing w:before="0" w:beforeAutospacing="0" w:after="0" w:afterAutospacing="0"/>
        <w:jc w:val="both"/>
        <w:rPr>
          <w:rFonts w:ascii="Arial" w:hAnsi="Arial" w:cs="Arial"/>
        </w:rPr>
      </w:pPr>
      <w:r>
        <w:rPr>
          <w:rFonts w:ascii="Arial" w:hAnsi="Arial" w:cs="Arial"/>
        </w:rPr>
        <w:lastRenderedPageBreak/>
        <w:t>On 7 August 2015 McDonald J, the primary judge in the proceeding commenced in 2009, found that the purpose of the Donation Agreement was to deprive the first to fifth respondents of access to the Czech properties and was unlawful.  However, he found that they had not proved that they suffered any monetary loss because there were still court proceedings in the Czech Republic.</w:t>
      </w:r>
    </w:p>
    <w:p w14:paraId="14F75E6D" w14:textId="77777777" w:rsidR="001D63AD" w:rsidRDefault="001D63AD" w:rsidP="001D63AD">
      <w:pPr>
        <w:pStyle w:val="NormalWeb"/>
        <w:spacing w:before="0" w:beforeAutospacing="0" w:after="0" w:afterAutospacing="0"/>
        <w:jc w:val="both"/>
        <w:rPr>
          <w:rFonts w:ascii="Arial" w:hAnsi="Arial" w:cs="Arial"/>
        </w:rPr>
      </w:pPr>
    </w:p>
    <w:p w14:paraId="70EE3571" w14:textId="23EA4571" w:rsidR="001D63AD" w:rsidRDefault="001D63AD" w:rsidP="001D63AD">
      <w:pPr>
        <w:pStyle w:val="NormalWeb"/>
        <w:spacing w:before="0" w:beforeAutospacing="0" w:after="0" w:afterAutospacing="0"/>
        <w:jc w:val="both"/>
        <w:rPr>
          <w:rFonts w:ascii="Arial" w:hAnsi="Arial" w:cs="Arial"/>
        </w:rPr>
      </w:pPr>
      <w:r>
        <w:rPr>
          <w:rFonts w:ascii="Arial" w:hAnsi="Arial" w:cs="Arial"/>
        </w:rPr>
        <w:t>On 27 June 2017 the Court of Appeal allowed an appeal (‘the 2017 Court of Appeal judgment’).  The Court held that the first to fifth respondents had suffered a loss of a chance to recover the amount in the Kyrou</w:t>
      </w:r>
      <w:r>
        <w:rPr>
          <w:rFonts w:cs="Arial"/>
          <w:iCs/>
        </w:rPr>
        <w:t> </w:t>
      </w:r>
      <w:r>
        <w:rPr>
          <w:rFonts w:ascii="Arial" w:hAnsi="Arial" w:cs="Arial"/>
        </w:rPr>
        <w:t>J judgment and that the first to fifth respondents’ expenses of proceedings in the Czech Republic also constituted monetary loss.  It held there should be an assessment of damages representing the difference between the value of the first to fifth respondents’ chance of recovering the judgment debt before and after entry into the Donation Agreement.  The proceeding was remitted to McDonald</w:t>
      </w:r>
      <w:r>
        <w:rPr>
          <w:rFonts w:cs="Arial"/>
          <w:iCs/>
        </w:rPr>
        <w:t> </w:t>
      </w:r>
      <w:r>
        <w:rPr>
          <w:rFonts w:ascii="Arial" w:hAnsi="Arial" w:cs="Arial"/>
        </w:rPr>
        <w:t xml:space="preserve">J to determine the amount of damages. </w:t>
      </w:r>
    </w:p>
    <w:p w14:paraId="7D851294" w14:textId="77777777" w:rsidR="001D63AD" w:rsidRDefault="001D63AD" w:rsidP="001D63AD">
      <w:pPr>
        <w:pStyle w:val="NormalWeb"/>
        <w:spacing w:before="0" w:beforeAutospacing="0" w:after="0" w:afterAutospacing="0"/>
        <w:jc w:val="both"/>
        <w:rPr>
          <w:rFonts w:ascii="Arial" w:hAnsi="Arial" w:cs="Arial"/>
        </w:rPr>
      </w:pPr>
    </w:p>
    <w:p w14:paraId="7526B292" w14:textId="6D76C728" w:rsidR="001D63AD" w:rsidRDefault="001D63AD" w:rsidP="001D63AD">
      <w:pPr>
        <w:pStyle w:val="NormalWeb"/>
        <w:spacing w:before="0" w:beforeAutospacing="0" w:after="0" w:afterAutospacing="0"/>
        <w:jc w:val="both"/>
        <w:rPr>
          <w:rFonts w:ascii="Arial" w:hAnsi="Arial" w:cs="Arial"/>
        </w:rPr>
      </w:pPr>
      <w:r>
        <w:rPr>
          <w:rFonts w:ascii="Arial" w:hAnsi="Arial" w:cs="Arial"/>
        </w:rPr>
        <w:t>On 15 December 2017 the High Court refused special leave to appeal from the 2017 Court of Appeal judgment on the basis that it was not, at that stage, a suitable vehicle for consideration of the issues.  The High Court noted that there had been no assessment of damages.</w:t>
      </w:r>
    </w:p>
    <w:p w14:paraId="689D8026" w14:textId="77777777" w:rsidR="001D63AD" w:rsidRDefault="001D63AD" w:rsidP="001D63AD">
      <w:pPr>
        <w:pStyle w:val="NormalWeb"/>
        <w:spacing w:before="0" w:beforeAutospacing="0" w:after="0" w:afterAutospacing="0"/>
        <w:jc w:val="both"/>
        <w:rPr>
          <w:rFonts w:ascii="Arial" w:hAnsi="Arial" w:cs="Arial"/>
        </w:rPr>
      </w:pPr>
    </w:p>
    <w:p w14:paraId="7D4A2E68" w14:textId="06BD322C" w:rsidR="001D63AD" w:rsidRDefault="001D63AD" w:rsidP="001D63AD">
      <w:pPr>
        <w:pStyle w:val="NormalWeb"/>
        <w:spacing w:before="0" w:beforeAutospacing="0" w:after="0" w:afterAutospacing="0"/>
        <w:jc w:val="both"/>
        <w:rPr>
          <w:rFonts w:ascii="Arial" w:hAnsi="Arial" w:cs="Arial"/>
        </w:rPr>
      </w:pPr>
      <w:r>
        <w:rPr>
          <w:rFonts w:ascii="Arial" w:hAnsi="Arial" w:cs="Arial"/>
        </w:rPr>
        <w:t>On 7 December 2018 McDonald J delivered reasons assessing the amount of damages due to the loss or reduction of chance (‘the 2018 Supreme Court damages judgment’).  On 20 December 2018 McDonald</w:t>
      </w:r>
      <w:r>
        <w:rPr>
          <w:rFonts w:cs="Arial"/>
          <w:iCs/>
        </w:rPr>
        <w:t> </w:t>
      </w:r>
      <w:r>
        <w:rPr>
          <w:rFonts w:ascii="Arial" w:hAnsi="Arial" w:cs="Arial"/>
        </w:rPr>
        <w:t>J delivered reasons in relation to the costs of various related proceedings (‘the 2018 Supreme Court costs judgment’).  The total amount of both judgments was $18,524,984.50.  On that date his Honour pronounced orders in relation to both damages and costs.</w:t>
      </w:r>
    </w:p>
    <w:p w14:paraId="21E34E9C" w14:textId="77777777" w:rsidR="001D63AD" w:rsidRDefault="001D63AD" w:rsidP="001D63AD">
      <w:pPr>
        <w:pStyle w:val="NormalWeb"/>
        <w:spacing w:before="0" w:beforeAutospacing="0" w:after="0" w:afterAutospacing="0"/>
        <w:jc w:val="both"/>
        <w:rPr>
          <w:rFonts w:ascii="Arial" w:hAnsi="Arial" w:cs="Arial"/>
        </w:rPr>
      </w:pPr>
    </w:p>
    <w:p w14:paraId="284B6FD8" w14:textId="233A795C" w:rsidR="001D63AD" w:rsidRDefault="001D63AD" w:rsidP="001D63AD">
      <w:pPr>
        <w:pStyle w:val="NormalWeb"/>
        <w:spacing w:before="0" w:beforeAutospacing="0" w:after="0" w:afterAutospacing="0"/>
        <w:jc w:val="both"/>
        <w:rPr>
          <w:rFonts w:ascii="Arial" w:hAnsi="Arial" w:cs="Arial"/>
          <w:highlight w:val="green"/>
        </w:rPr>
      </w:pPr>
      <w:r>
        <w:rPr>
          <w:rFonts w:ascii="Arial" w:hAnsi="Arial" w:cs="Arial"/>
        </w:rPr>
        <w:t>On 30 April 2020 the Court of Appeal dismissed an appeal brought against the 2018 Supreme Court judgments (‘the 2020 Court of Appeal judgment’).</w:t>
      </w:r>
    </w:p>
    <w:p w14:paraId="710E7BA5" w14:textId="77777777" w:rsidR="001D63AD" w:rsidRPr="00A54914" w:rsidRDefault="001D63AD" w:rsidP="001D63AD">
      <w:pPr>
        <w:pStyle w:val="NormalWeb"/>
        <w:spacing w:before="0" w:beforeAutospacing="0" w:after="0" w:afterAutospacing="0"/>
        <w:jc w:val="both"/>
        <w:rPr>
          <w:rFonts w:ascii="Arial" w:hAnsi="Arial" w:cs="Arial"/>
          <w:highlight w:val="green"/>
        </w:rPr>
      </w:pPr>
    </w:p>
    <w:p w14:paraId="53AA6266" w14:textId="77777777" w:rsidR="001D63AD" w:rsidRDefault="001D63AD" w:rsidP="001D63AD">
      <w:pPr>
        <w:ind w:right="180"/>
        <w:jc w:val="both"/>
        <w:rPr>
          <w:rFonts w:cs="Arial"/>
          <w:szCs w:val="24"/>
        </w:rPr>
      </w:pPr>
      <w:r>
        <w:rPr>
          <w:rFonts w:cs="Arial"/>
          <w:szCs w:val="24"/>
        </w:rPr>
        <w:t xml:space="preserve">The appellant filed </w:t>
      </w:r>
      <w:proofErr w:type="gramStart"/>
      <w:r>
        <w:rPr>
          <w:rFonts w:cs="Arial"/>
          <w:szCs w:val="24"/>
        </w:rPr>
        <w:t>a number of</w:t>
      </w:r>
      <w:proofErr w:type="gramEnd"/>
      <w:r>
        <w:rPr>
          <w:rFonts w:cs="Arial"/>
          <w:szCs w:val="24"/>
        </w:rPr>
        <w:t xml:space="preserve"> applications for special leave in the High Court.  Special leave has been granted in relation to the 2017 Court of Appeal judgments, </w:t>
      </w:r>
      <w:r w:rsidRPr="00A84A15">
        <w:rPr>
          <w:rFonts w:cs="Arial"/>
          <w:szCs w:val="24"/>
        </w:rPr>
        <w:t>the 2018 Supreme Court judgment</w:t>
      </w:r>
      <w:r>
        <w:rPr>
          <w:rFonts w:cs="Arial"/>
          <w:szCs w:val="24"/>
        </w:rPr>
        <w:t>s, and the 2020 Court of Appeal judgment.  In granting special leave this Court directed that all matters be consolidated into one appeal.</w:t>
      </w:r>
    </w:p>
    <w:p w14:paraId="4A8DCDD4" w14:textId="77777777" w:rsidR="001D63AD" w:rsidRDefault="001D63AD" w:rsidP="001D63AD">
      <w:pPr>
        <w:ind w:right="180"/>
        <w:jc w:val="both"/>
        <w:rPr>
          <w:rFonts w:cs="Arial"/>
          <w:szCs w:val="24"/>
        </w:rPr>
      </w:pPr>
    </w:p>
    <w:p w14:paraId="3D1E11A3" w14:textId="77777777" w:rsidR="001D63AD" w:rsidRDefault="001D63AD" w:rsidP="001D63AD">
      <w:pPr>
        <w:ind w:right="180"/>
        <w:jc w:val="both"/>
        <w:rPr>
          <w:rFonts w:cs="Arial"/>
          <w:szCs w:val="24"/>
        </w:rPr>
      </w:pPr>
      <w:r>
        <w:rPr>
          <w:rFonts w:cs="Arial"/>
          <w:szCs w:val="24"/>
        </w:rPr>
        <w:t>The appellant has filed a Notice of Appeal.  The first respondent has filed a Notice of Cross-Appeal and a Notice of Contention.  The second to fifth respondents have filed a Notice of Cross-Appeal and a Notice of Contention.</w:t>
      </w:r>
    </w:p>
    <w:p w14:paraId="459768F7" w14:textId="77777777" w:rsidR="001D63AD" w:rsidRPr="003B38EA" w:rsidRDefault="001D63AD" w:rsidP="001D63AD">
      <w:pPr>
        <w:jc w:val="both"/>
        <w:rPr>
          <w:rFonts w:cs="Arial"/>
          <w:szCs w:val="24"/>
          <w:highlight w:val="yellow"/>
        </w:rPr>
      </w:pPr>
    </w:p>
    <w:p w14:paraId="5CA2A1E6" w14:textId="77777777" w:rsidR="001D63AD" w:rsidRPr="00CA4631" w:rsidRDefault="001D63AD" w:rsidP="001D63AD">
      <w:pPr>
        <w:jc w:val="both"/>
        <w:rPr>
          <w:rFonts w:cs="Arial"/>
          <w:szCs w:val="24"/>
        </w:rPr>
      </w:pPr>
      <w:r w:rsidRPr="00CA4631">
        <w:rPr>
          <w:rFonts w:cs="Arial"/>
          <w:szCs w:val="24"/>
        </w:rPr>
        <w:t xml:space="preserve">The grounds of </w:t>
      </w:r>
      <w:r>
        <w:rPr>
          <w:rFonts w:cs="Arial"/>
          <w:szCs w:val="24"/>
        </w:rPr>
        <w:t>a</w:t>
      </w:r>
      <w:r w:rsidRPr="00CA4631">
        <w:rPr>
          <w:rFonts w:cs="Arial"/>
          <w:szCs w:val="24"/>
        </w:rPr>
        <w:t>ppeal are:</w:t>
      </w:r>
    </w:p>
    <w:p w14:paraId="6629CA0C" w14:textId="77777777" w:rsidR="001D63AD" w:rsidRPr="00CA4631" w:rsidRDefault="001D63AD" w:rsidP="001D63AD">
      <w:pPr>
        <w:jc w:val="both"/>
        <w:rPr>
          <w:rFonts w:cs="Arial"/>
          <w:szCs w:val="24"/>
        </w:rPr>
      </w:pPr>
    </w:p>
    <w:p w14:paraId="6C3911DD" w14:textId="77777777" w:rsidR="001D63AD" w:rsidRPr="00CA4631" w:rsidRDefault="001D63AD" w:rsidP="001D63AD">
      <w:pPr>
        <w:pStyle w:val="ListParagraph"/>
        <w:numPr>
          <w:ilvl w:val="0"/>
          <w:numId w:val="12"/>
        </w:numPr>
        <w:jc w:val="both"/>
        <w:rPr>
          <w:rFonts w:cs="Arial"/>
          <w:sz w:val="24"/>
          <w:szCs w:val="24"/>
        </w:rPr>
      </w:pPr>
      <w:r w:rsidRPr="00CA4631">
        <w:rPr>
          <w:rFonts w:cs="Arial"/>
          <w:sz w:val="24"/>
          <w:szCs w:val="24"/>
        </w:rPr>
        <w:t xml:space="preserve">The Court of Appeal erred in holding or finding that an agreement to transfer properties had caused the loss of a chance to recover a judgment debt, in circumstances where the chance was only </w:t>
      </w:r>
      <w:proofErr w:type="gramStart"/>
      <w:r w:rsidRPr="00CA4631">
        <w:rPr>
          <w:rFonts w:cs="Arial"/>
          <w:sz w:val="24"/>
          <w:szCs w:val="24"/>
        </w:rPr>
        <w:t>reduced</w:t>
      </w:r>
      <w:proofErr w:type="gramEnd"/>
      <w:r w:rsidRPr="00CA4631">
        <w:rPr>
          <w:rFonts w:cs="Arial"/>
          <w:sz w:val="24"/>
          <w:szCs w:val="24"/>
        </w:rPr>
        <w:t xml:space="preserve"> and the judgment debt may yet be recovered.</w:t>
      </w:r>
    </w:p>
    <w:p w14:paraId="646F2D84" w14:textId="77777777" w:rsidR="001D63AD" w:rsidRPr="00CA4631" w:rsidRDefault="001D63AD" w:rsidP="001D63AD">
      <w:pPr>
        <w:pStyle w:val="ListParagraph"/>
        <w:ind w:left="780"/>
        <w:jc w:val="both"/>
        <w:rPr>
          <w:rFonts w:cs="Arial"/>
          <w:sz w:val="24"/>
          <w:szCs w:val="24"/>
        </w:rPr>
      </w:pPr>
    </w:p>
    <w:p w14:paraId="1831FFE4" w14:textId="77777777" w:rsidR="001D63AD" w:rsidRPr="003130C0" w:rsidRDefault="001D63AD" w:rsidP="001D63AD">
      <w:pPr>
        <w:pStyle w:val="ListParagraph"/>
        <w:numPr>
          <w:ilvl w:val="0"/>
          <w:numId w:val="12"/>
        </w:numPr>
        <w:jc w:val="both"/>
        <w:rPr>
          <w:rFonts w:cs="Arial"/>
          <w:sz w:val="24"/>
          <w:szCs w:val="24"/>
        </w:rPr>
      </w:pPr>
      <w:r w:rsidRPr="00CA4631">
        <w:rPr>
          <w:rFonts w:cs="Arial"/>
          <w:sz w:val="24"/>
          <w:szCs w:val="24"/>
        </w:rPr>
        <w:t>The Court of Appeal erred in holding or finding that a party was entitled to recover its expenses of foreign proceedings by way of damages, in circumstances where the foreign proceedings are ongoing and where the foreign court may order the expenses to be borne by that party.</w:t>
      </w:r>
    </w:p>
    <w:p w14:paraId="28701188" w14:textId="513286A0" w:rsidR="001D63AD" w:rsidRDefault="001D63AD">
      <w:r>
        <w:br w:type="page"/>
      </w:r>
    </w:p>
    <w:p w14:paraId="70CF94D9" w14:textId="77777777" w:rsidR="000F64A9" w:rsidRPr="002857C5" w:rsidRDefault="000F64A9" w:rsidP="000F64A9">
      <w:pPr>
        <w:pStyle w:val="NoSpacing"/>
        <w:rPr>
          <w:rFonts w:ascii="Arial" w:eastAsia="Times New Roman" w:hAnsi="Arial" w:cs="Arial"/>
          <w:b/>
          <w:color w:val="000000"/>
          <w:sz w:val="24"/>
          <w:szCs w:val="24"/>
          <w:u w:val="single"/>
          <w:lang w:eastAsia="en-AU"/>
        </w:rPr>
      </w:pPr>
      <w:r w:rsidRPr="002857C5">
        <w:rPr>
          <w:rFonts w:ascii="Arial" w:eastAsia="Times New Roman" w:hAnsi="Arial" w:cs="Arial"/>
          <w:b/>
          <w:color w:val="000000"/>
          <w:sz w:val="24"/>
          <w:szCs w:val="24"/>
          <w:u w:val="single"/>
          <w:lang w:eastAsia="en-AU"/>
        </w:rPr>
        <w:lastRenderedPageBreak/>
        <w:t xml:space="preserve">NAMOA v THE </w:t>
      </w:r>
      <w:proofErr w:type="gramStart"/>
      <w:r w:rsidRPr="002857C5">
        <w:rPr>
          <w:rFonts w:ascii="Arial" w:eastAsia="Times New Roman" w:hAnsi="Arial" w:cs="Arial"/>
          <w:b/>
          <w:color w:val="000000"/>
          <w:sz w:val="24"/>
          <w:szCs w:val="24"/>
          <w:u w:val="single"/>
          <w:lang w:eastAsia="en-AU"/>
        </w:rPr>
        <w:t>QUEEN</w:t>
      </w:r>
      <w:r w:rsidRPr="002857C5">
        <w:rPr>
          <w:rFonts w:ascii="Arial" w:eastAsia="Times New Roman" w:hAnsi="Arial" w:cs="Arial"/>
          <w:b/>
          <w:color w:val="000000"/>
          <w:sz w:val="24"/>
          <w:szCs w:val="24"/>
          <w:lang w:eastAsia="en-AU"/>
        </w:rPr>
        <w:t xml:space="preserve"> </w:t>
      </w:r>
      <w:r>
        <w:rPr>
          <w:rFonts w:ascii="Arial" w:eastAsia="Times New Roman" w:hAnsi="Arial" w:cs="Arial"/>
          <w:b/>
          <w:color w:val="000000"/>
          <w:sz w:val="24"/>
          <w:szCs w:val="24"/>
          <w:lang w:eastAsia="en-AU"/>
        </w:rPr>
        <w:t xml:space="preserve"> </w:t>
      </w:r>
      <w:r w:rsidRPr="002857C5">
        <w:rPr>
          <w:rFonts w:ascii="Arial" w:eastAsia="Times New Roman" w:hAnsi="Arial" w:cs="Arial"/>
          <w:b/>
          <w:color w:val="000000"/>
          <w:sz w:val="24"/>
          <w:szCs w:val="24"/>
          <w:lang w:eastAsia="en-AU"/>
        </w:rPr>
        <w:t>(</w:t>
      </w:r>
      <w:proofErr w:type="gramEnd"/>
      <w:r w:rsidRPr="002857C5">
        <w:rPr>
          <w:rFonts w:ascii="Arial" w:eastAsia="Times New Roman" w:hAnsi="Arial" w:cs="Arial"/>
          <w:b/>
          <w:color w:val="000000"/>
          <w:sz w:val="24"/>
          <w:szCs w:val="24"/>
          <w:lang w:eastAsia="en-AU"/>
        </w:rPr>
        <w:t>S188/2020)</w:t>
      </w:r>
    </w:p>
    <w:p w14:paraId="668E413D" w14:textId="77777777" w:rsidR="000F64A9" w:rsidRPr="00A920AB" w:rsidRDefault="000F64A9" w:rsidP="000F64A9">
      <w:pPr>
        <w:ind w:left="2694" w:hanging="2694"/>
        <w:rPr>
          <w:rFonts w:cs="Arial"/>
          <w:szCs w:val="24"/>
        </w:rPr>
      </w:pPr>
    </w:p>
    <w:p w14:paraId="7A69BD77" w14:textId="77777777" w:rsidR="000F64A9" w:rsidRPr="006A1C3E" w:rsidRDefault="000F64A9" w:rsidP="000F64A9">
      <w:pPr>
        <w:ind w:left="2694" w:hanging="2694"/>
        <w:rPr>
          <w:rFonts w:cs="Arial"/>
          <w:szCs w:val="24"/>
        </w:rPr>
      </w:pPr>
      <w:r w:rsidRPr="006A1C3E">
        <w:rPr>
          <w:rFonts w:cs="Arial"/>
          <w:szCs w:val="24"/>
          <w:u w:val="single"/>
        </w:rPr>
        <w:t>Court appealed from</w:t>
      </w:r>
      <w:r w:rsidRPr="006A1C3E">
        <w:rPr>
          <w:rFonts w:cs="Arial"/>
          <w:szCs w:val="24"/>
        </w:rPr>
        <w:t>:</w:t>
      </w:r>
      <w:r w:rsidRPr="006A1C3E">
        <w:rPr>
          <w:rFonts w:cs="Arial"/>
          <w:szCs w:val="24"/>
        </w:rPr>
        <w:tab/>
      </w:r>
      <w:r>
        <w:rPr>
          <w:rFonts w:cs="Arial"/>
          <w:szCs w:val="24"/>
        </w:rPr>
        <w:t xml:space="preserve">Court of Criminal Appeal of the Supreme Court </w:t>
      </w:r>
      <w:r>
        <w:rPr>
          <w:rFonts w:cs="Arial"/>
          <w:szCs w:val="24"/>
        </w:rPr>
        <w:br/>
        <w:t xml:space="preserve">of New South Wales </w:t>
      </w:r>
    </w:p>
    <w:p w14:paraId="4596652F" w14:textId="77777777" w:rsidR="000F64A9" w:rsidRPr="006A1C3E" w:rsidRDefault="000F64A9" w:rsidP="000F64A9">
      <w:pPr>
        <w:ind w:left="2694" w:hanging="2694"/>
        <w:rPr>
          <w:rFonts w:cs="Arial"/>
          <w:szCs w:val="24"/>
        </w:rPr>
      </w:pPr>
      <w:r w:rsidRPr="006A1C3E">
        <w:rPr>
          <w:rFonts w:cs="Arial"/>
          <w:szCs w:val="24"/>
        </w:rPr>
        <w:t xml:space="preserve"> </w:t>
      </w:r>
      <w:r w:rsidRPr="006A1C3E">
        <w:rPr>
          <w:rFonts w:cs="Arial"/>
          <w:szCs w:val="24"/>
        </w:rPr>
        <w:tab/>
      </w:r>
      <w:r>
        <w:rPr>
          <w:rFonts w:cs="Arial"/>
          <w:szCs w:val="24"/>
        </w:rPr>
        <w:t>[2020] NSWCCA 62</w:t>
      </w:r>
    </w:p>
    <w:p w14:paraId="35B485BB" w14:textId="77777777" w:rsidR="000F64A9" w:rsidRPr="006A1C3E" w:rsidRDefault="000F64A9" w:rsidP="000F64A9">
      <w:pPr>
        <w:ind w:left="2694" w:hanging="2694"/>
        <w:rPr>
          <w:rFonts w:cs="Arial"/>
          <w:szCs w:val="24"/>
        </w:rPr>
      </w:pPr>
      <w:r w:rsidRPr="006A1C3E">
        <w:rPr>
          <w:rFonts w:cs="Arial"/>
          <w:szCs w:val="24"/>
        </w:rPr>
        <w:tab/>
      </w:r>
    </w:p>
    <w:p w14:paraId="697B1F9D" w14:textId="77777777" w:rsidR="000F64A9" w:rsidRPr="006A1C3E" w:rsidRDefault="000F64A9" w:rsidP="000F64A9">
      <w:pPr>
        <w:ind w:left="2694" w:hanging="2694"/>
        <w:rPr>
          <w:rFonts w:cs="Arial"/>
          <w:szCs w:val="24"/>
        </w:rPr>
      </w:pPr>
      <w:r w:rsidRPr="006A1C3E">
        <w:rPr>
          <w:rFonts w:cs="Arial"/>
          <w:szCs w:val="24"/>
          <w:u w:val="single"/>
        </w:rPr>
        <w:t>Date of judgment</w:t>
      </w:r>
      <w:r w:rsidRPr="006A1C3E">
        <w:rPr>
          <w:rFonts w:cs="Arial"/>
          <w:szCs w:val="24"/>
        </w:rPr>
        <w:t>:</w:t>
      </w:r>
      <w:r w:rsidRPr="006A1C3E">
        <w:rPr>
          <w:rFonts w:cs="Arial"/>
          <w:szCs w:val="24"/>
        </w:rPr>
        <w:tab/>
      </w:r>
      <w:r>
        <w:rPr>
          <w:rFonts w:cs="Arial"/>
          <w:szCs w:val="24"/>
        </w:rPr>
        <w:t>6 April 2020</w:t>
      </w:r>
    </w:p>
    <w:p w14:paraId="3378AB38" w14:textId="77777777" w:rsidR="000F64A9" w:rsidRPr="006A1C3E" w:rsidRDefault="000F64A9" w:rsidP="000F64A9">
      <w:pPr>
        <w:ind w:left="2694" w:hanging="2694"/>
        <w:rPr>
          <w:rFonts w:cs="Arial"/>
          <w:szCs w:val="24"/>
        </w:rPr>
      </w:pPr>
    </w:p>
    <w:p w14:paraId="374D4D60" w14:textId="77777777" w:rsidR="000F64A9" w:rsidRDefault="000F64A9" w:rsidP="000F64A9">
      <w:pPr>
        <w:ind w:left="2694" w:hanging="2694"/>
        <w:rPr>
          <w:rFonts w:cs="Arial"/>
          <w:szCs w:val="24"/>
        </w:rPr>
      </w:pPr>
      <w:r w:rsidRPr="006A1C3E">
        <w:rPr>
          <w:rFonts w:cs="Arial"/>
          <w:szCs w:val="24"/>
          <w:u w:val="single"/>
        </w:rPr>
        <w:t>Special leave granted</w:t>
      </w:r>
      <w:r w:rsidRPr="006A1C3E">
        <w:rPr>
          <w:rFonts w:cs="Arial"/>
          <w:szCs w:val="24"/>
        </w:rPr>
        <w:t>:</w:t>
      </w:r>
      <w:r w:rsidRPr="006A1C3E">
        <w:rPr>
          <w:rFonts w:cs="Arial"/>
          <w:szCs w:val="24"/>
        </w:rPr>
        <w:tab/>
      </w:r>
      <w:r>
        <w:rPr>
          <w:rFonts w:cs="Arial"/>
          <w:szCs w:val="24"/>
        </w:rPr>
        <w:t>13 October</w:t>
      </w:r>
      <w:r w:rsidRPr="006A1C3E">
        <w:rPr>
          <w:rFonts w:cs="Arial"/>
          <w:szCs w:val="24"/>
        </w:rPr>
        <w:t xml:space="preserve"> 2020</w:t>
      </w:r>
    </w:p>
    <w:p w14:paraId="2B9E2109" w14:textId="77777777" w:rsidR="000F64A9" w:rsidRDefault="000F64A9" w:rsidP="000F64A9">
      <w:pPr>
        <w:ind w:left="2694" w:hanging="2694"/>
        <w:rPr>
          <w:rFonts w:cs="Arial"/>
          <w:szCs w:val="24"/>
        </w:rPr>
      </w:pPr>
    </w:p>
    <w:p w14:paraId="6C6622D8" w14:textId="77777777" w:rsidR="000F64A9" w:rsidRDefault="000F64A9" w:rsidP="000F64A9">
      <w:pPr>
        <w:jc w:val="both"/>
        <w:rPr>
          <w:rFonts w:cs="Arial"/>
          <w:szCs w:val="24"/>
        </w:rPr>
      </w:pPr>
      <w:r>
        <w:rPr>
          <w:rFonts w:cs="Arial"/>
          <w:szCs w:val="24"/>
        </w:rPr>
        <w:t xml:space="preserve">The Appellant was tried before a jury on an indictment containing one count of conspiring with her co-accused, </w:t>
      </w:r>
      <w:proofErr w:type="spellStart"/>
      <w:r>
        <w:rPr>
          <w:rFonts w:cs="Arial"/>
          <w:szCs w:val="24"/>
        </w:rPr>
        <w:t>Mr</w:t>
      </w:r>
      <w:proofErr w:type="spellEnd"/>
      <w:r>
        <w:rPr>
          <w:rFonts w:cs="Arial"/>
          <w:szCs w:val="24"/>
        </w:rPr>
        <w:t xml:space="preserve"> </w:t>
      </w:r>
      <w:proofErr w:type="spellStart"/>
      <w:r>
        <w:rPr>
          <w:rFonts w:cs="Arial"/>
          <w:szCs w:val="24"/>
        </w:rPr>
        <w:t>Bayda</w:t>
      </w:r>
      <w:proofErr w:type="spellEnd"/>
      <w:r>
        <w:rPr>
          <w:rFonts w:cs="Arial"/>
          <w:szCs w:val="24"/>
        </w:rPr>
        <w:t>, to do acts in preparation for a terrorist act or acts contrary to ss</w:t>
      </w:r>
      <w:r>
        <w:rPr>
          <w:rFonts w:cs="Arial"/>
          <w:iCs/>
          <w:szCs w:val="24"/>
        </w:rPr>
        <w:t> </w:t>
      </w:r>
      <w:r>
        <w:rPr>
          <w:rFonts w:cs="Arial"/>
          <w:szCs w:val="24"/>
        </w:rPr>
        <w:t xml:space="preserve">11.5(1) and 101.6(1) of the Schedule to the </w:t>
      </w:r>
      <w:r>
        <w:rPr>
          <w:rFonts w:cs="Arial"/>
          <w:i/>
          <w:szCs w:val="24"/>
        </w:rPr>
        <w:t xml:space="preserve">Criminal Code Act 1995 </w:t>
      </w:r>
      <w:r>
        <w:rPr>
          <w:rFonts w:cs="Arial"/>
          <w:szCs w:val="24"/>
        </w:rPr>
        <w:t>(</w:t>
      </w:r>
      <w:proofErr w:type="spellStart"/>
      <w:r>
        <w:rPr>
          <w:rFonts w:cs="Arial"/>
          <w:szCs w:val="24"/>
        </w:rPr>
        <w:t>Cth</w:t>
      </w:r>
      <w:proofErr w:type="spellEnd"/>
      <w:r>
        <w:rPr>
          <w:rFonts w:cs="Arial"/>
          <w:szCs w:val="24"/>
        </w:rPr>
        <w:t xml:space="preserve">) (“the Criminal Code”).  </w:t>
      </w:r>
      <w:r w:rsidRPr="00355AC3">
        <w:rPr>
          <w:rFonts w:cs="Arial"/>
          <w:szCs w:val="24"/>
        </w:rPr>
        <w:t xml:space="preserve">The charge alleged that the Appellant and </w:t>
      </w:r>
      <w:proofErr w:type="spellStart"/>
      <w:r w:rsidRPr="00355AC3">
        <w:rPr>
          <w:rFonts w:cs="Arial"/>
          <w:szCs w:val="24"/>
        </w:rPr>
        <w:t>Mr</w:t>
      </w:r>
      <w:proofErr w:type="spellEnd"/>
      <w:r>
        <w:rPr>
          <w:rFonts w:cs="Arial"/>
          <w:iCs/>
          <w:szCs w:val="24"/>
        </w:rPr>
        <w:t> </w:t>
      </w:r>
      <w:proofErr w:type="spellStart"/>
      <w:r w:rsidRPr="00355AC3">
        <w:rPr>
          <w:rFonts w:cs="Arial"/>
          <w:szCs w:val="24"/>
        </w:rPr>
        <w:t>Ba</w:t>
      </w:r>
      <w:r>
        <w:rPr>
          <w:rFonts w:cs="Arial"/>
          <w:szCs w:val="24"/>
        </w:rPr>
        <w:t>y</w:t>
      </w:r>
      <w:r w:rsidRPr="00355AC3">
        <w:rPr>
          <w:rFonts w:cs="Arial"/>
          <w:szCs w:val="24"/>
        </w:rPr>
        <w:t>da</w:t>
      </w:r>
      <w:proofErr w:type="spellEnd"/>
      <w:r w:rsidRPr="00355AC3">
        <w:rPr>
          <w:rFonts w:cs="Arial"/>
          <w:szCs w:val="24"/>
        </w:rPr>
        <w:t xml:space="preserve"> conspired with each other between about 8 December 2015 and about </w:t>
      </w:r>
      <w:r w:rsidRPr="00987104">
        <w:rPr>
          <w:rFonts w:cs="Arial"/>
          <w:szCs w:val="24"/>
        </w:rPr>
        <w:t>25 January 2016, when they were both aged 18, to do acts in preparation for a terrorist act or acts involving the detonation of an improvised explosive</w:t>
      </w:r>
      <w:r w:rsidRPr="00355AC3">
        <w:rPr>
          <w:rFonts w:cs="Arial"/>
          <w:szCs w:val="24"/>
        </w:rPr>
        <w:t xml:space="preserve"> device or devices and/or incendiary devices and/or the use of bladed weapons.</w:t>
      </w:r>
      <w:r>
        <w:rPr>
          <w:rFonts w:cs="Arial"/>
          <w:szCs w:val="24"/>
        </w:rPr>
        <w:t xml:space="preserve"> </w:t>
      </w:r>
    </w:p>
    <w:p w14:paraId="2553AABD" w14:textId="77777777" w:rsidR="000F64A9" w:rsidRDefault="000F64A9" w:rsidP="000F64A9">
      <w:pPr>
        <w:jc w:val="both"/>
        <w:rPr>
          <w:rFonts w:cs="Arial"/>
          <w:szCs w:val="24"/>
        </w:rPr>
      </w:pPr>
    </w:p>
    <w:p w14:paraId="15C9C84A" w14:textId="77777777" w:rsidR="000F64A9" w:rsidRDefault="000F64A9" w:rsidP="000F64A9">
      <w:pPr>
        <w:jc w:val="both"/>
        <w:rPr>
          <w:rFonts w:cs="Arial"/>
          <w:szCs w:val="24"/>
        </w:rPr>
      </w:pPr>
      <w:r>
        <w:rPr>
          <w:rFonts w:cs="Arial"/>
          <w:szCs w:val="24"/>
        </w:rPr>
        <w:t xml:space="preserve">Prior to the trial, the Appellant unsuccessfully sought orders for a permanent stay on the basis that she and </w:t>
      </w:r>
      <w:proofErr w:type="spellStart"/>
      <w:r>
        <w:rPr>
          <w:rFonts w:cs="Arial"/>
          <w:szCs w:val="24"/>
        </w:rPr>
        <w:t>Mr</w:t>
      </w:r>
      <w:proofErr w:type="spellEnd"/>
      <w:r>
        <w:rPr>
          <w:rFonts w:cs="Arial"/>
          <w:iCs/>
          <w:szCs w:val="24"/>
        </w:rPr>
        <w:t> </w:t>
      </w:r>
      <w:proofErr w:type="spellStart"/>
      <w:r>
        <w:rPr>
          <w:rFonts w:cs="Arial"/>
          <w:szCs w:val="24"/>
        </w:rPr>
        <w:t>Bayda</w:t>
      </w:r>
      <w:proofErr w:type="spellEnd"/>
      <w:r>
        <w:rPr>
          <w:rFonts w:cs="Arial"/>
          <w:szCs w:val="24"/>
        </w:rPr>
        <w:t xml:space="preserve"> had been married on 30 December 2015 and that a husband and wife could not be guilty of the crime of conspiracy under the Criminal Code.  On 5 October 2018 the jury found the Appellant guilty and, on 31 January 2019, she was sentenced to a total term of imprisonment of three years and nine months.  </w:t>
      </w:r>
      <w:proofErr w:type="spellStart"/>
      <w:r>
        <w:rPr>
          <w:rFonts w:cs="Arial"/>
          <w:szCs w:val="24"/>
        </w:rPr>
        <w:t>Mr</w:t>
      </w:r>
      <w:proofErr w:type="spellEnd"/>
      <w:r>
        <w:rPr>
          <w:rFonts w:cs="Arial"/>
          <w:iCs/>
          <w:szCs w:val="24"/>
        </w:rPr>
        <w:t> </w:t>
      </w:r>
      <w:proofErr w:type="spellStart"/>
      <w:r>
        <w:rPr>
          <w:rFonts w:cs="Arial"/>
          <w:szCs w:val="24"/>
        </w:rPr>
        <w:t>Bayda</w:t>
      </w:r>
      <w:proofErr w:type="spellEnd"/>
      <w:r>
        <w:rPr>
          <w:rFonts w:cs="Arial"/>
          <w:szCs w:val="24"/>
        </w:rPr>
        <w:t xml:space="preserve"> was also found guilty and sentenced to a total term of imprisonment of four years. </w:t>
      </w:r>
    </w:p>
    <w:p w14:paraId="79157820" w14:textId="77777777" w:rsidR="000F64A9" w:rsidRDefault="000F64A9" w:rsidP="000F64A9">
      <w:pPr>
        <w:jc w:val="both"/>
        <w:rPr>
          <w:rFonts w:cs="Arial"/>
          <w:szCs w:val="24"/>
        </w:rPr>
      </w:pPr>
    </w:p>
    <w:p w14:paraId="47AE5B23" w14:textId="77777777" w:rsidR="000F64A9" w:rsidRDefault="000F64A9" w:rsidP="000F64A9">
      <w:pPr>
        <w:jc w:val="both"/>
        <w:rPr>
          <w:rFonts w:cs="Arial"/>
          <w:szCs w:val="24"/>
        </w:rPr>
      </w:pPr>
      <w:r>
        <w:rPr>
          <w:rFonts w:cs="Arial"/>
          <w:szCs w:val="24"/>
        </w:rPr>
        <w:t>On appeal against conviction the Appellant contended, amongst other things, that the trial judge erred in finding that the common law immunity of a husband and wife to a conspiracy charge had not formed part of the common law of Australia prior to the introduction of the Criminal Code and, even if it had, it was not incorporated in s</w:t>
      </w:r>
      <w:r>
        <w:rPr>
          <w:rFonts w:cs="Arial"/>
          <w:iCs/>
          <w:szCs w:val="24"/>
        </w:rPr>
        <w:t> </w:t>
      </w:r>
      <w:r>
        <w:rPr>
          <w:rFonts w:cs="Arial"/>
          <w:szCs w:val="24"/>
        </w:rPr>
        <w:t xml:space="preserve">11.5 of the Criminal Code. </w:t>
      </w:r>
    </w:p>
    <w:p w14:paraId="06EB1CC5" w14:textId="77777777" w:rsidR="000F64A9" w:rsidRDefault="000F64A9" w:rsidP="000F64A9">
      <w:pPr>
        <w:jc w:val="both"/>
        <w:rPr>
          <w:rFonts w:cs="Arial"/>
          <w:szCs w:val="24"/>
        </w:rPr>
      </w:pPr>
    </w:p>
    <w:p w14:paraId="04BB56E2" w14:textId="77777777" w:rsidR="000F64A9" w:rsidRDefault="000F64A9" w:rsidP="000F64A9">
      <w:pPr>
        <w:jc w:val="both"/>
        <w:rPr>
          <w:rFonts w:cs="Arial"/>
          <w:szCs w:val="24"/>
        </w:rPr>
      </w:pPr>
      <w:r>
        <w:rPr>
          <w:rFonts w:cs="Arial"/>
          <w:szCs w:val="24"/>
        </w:rPr>
        <w:t>The appeal was dismissed by the Court of Criminal Appeal (Payne</w:t>
      </w:r>
      <w:r>
        <w:rPr>
          <w:rFonts w:cs="Arial"/>
          <w:iCs/>
          <w:szCs w:val="24"/>
        </w:rPr>
        <w:t> </w:t>
      </w:r>
      <w:r>
        <w:rPr>
          <w:rFonts w:cs="Arial"/>
          <w:szCs w:val="24"/>
        </w:rPr>
        <w:t>JA, Johnson and Davies</w:t>
      </w:r>
      <w:r>
        <w:rPr>
          <w:rFonts w:cs="Arial"/>
          <w:iCs/>
          <w:szCs w:val="24"/>
        </w:rPr>
        <w:t> </w:t>
      </w:r>
      <w:r>
        <w:rPr>
          <w:rFonts w:cs="Arial"/>
          <w:szCs w:val="24"/>
        </w:rPr>
        <w:t>JJ agreeing).  The Court held that the language of s</w:t>
      </w:r>
      <w:r>
        <w:rPr>
          <w:rFonts w:cs="Arial"/>
          <w:iCs/>
          <w:szCs w:val="24"/>
        </w:rPr>
        <w:t> </w:t>
      </w:r>
      <w:r>
        <w:rPr>
          <w:rFonts w:cs="Arial"/>
          <w:szCs w:val="24"/>
        </w:rPr>
        <w:t>11.5</w:t>
      </w:r>
      <w:r w:rsidRPr="002108B1">
        <w:rPr>
          <w:rFonts w:cs="Arial"/>
          <w:szCs w:val="24"/>
        </w:rPr>
        <w:t xml:space="preserve"> </w:t>
      </w:r>
      <w:r>
        <w:rPr>
          <w:rFonts w:cs="Arial"/>
          <w:szCs w:val="24"/>
        </w:rPr>
        <w:t xml:space="preserve">of the Criminal Code, </w:t>
      </w:r>
      <w:proofErr w:type="gramStart"/>
      <w:r>
        <w:rPr>
          <w:rFonts w:cs="Arial"/>
          <w:szCs w:val="24"/>
        </w:rPr>
        <w:t>in particular the</w:t>
      </w:r>
      <w:proofErr w:type="gramEnd"/>
      <w:r>
        <w:rPr>
          <w:rFonts w:cs="Arial"/>
          <w:szCs w:val="24"/>
        </w:rPr>
        <w:t xml:space="preserve"> use of the words “with another person”, was sufficiently clear to demonstrate an intention by the Parliament that any immunity for conspiracy between a husband and wife was no longer to apply.  The Court also considered that, if it were necessary to decide, the trial judge was correct to find that at the time immediately prior to the introduction of the Criminal Code the common law of Australia did not </w:t>
      </w:r>
      <w:proofErr w:type="spellStart"/>
      <w:r>
        <w:rPr>
          <w:rFonts w:cs="Arial"/>
          <w:szCs w:val="24"/>
        </w:rPr>
        <w:t>recognise</w:t>
      </w:r>
      <w:proofErr w:type="spellEnd"/>
      <w:r>
        <w:rPr>
          <w:rFonts w:cs="Arial"/>
          <w:szCs w:val="24"/>
        </w:rPr>
        <w:t xml:space="preserve"> such an immunity.</w:t>
      </w:r>
    </w:p>
    <w:p w14:paraId="2200E11D" w14:textId="77777777" w:rsidR="000F64A9" w:rsidRDefault="000F64A9" w:rsidP="000F64A9">
      <w:pPr>
        <w:jc w:val="both"/>
        <w:rPr>
          <w:rFonts w:cs="Arial"/>
          <w:szCs w:val="24"/>
        </w:rPr>
      </w:pPr>
    </w:p>
    <w:p w14:paraId="16C8D42E" w14:textId="77777777" w:rsidR="000F64A9" w:rsidRDefault="000F64A9" w:rsidP="000F64A9">
      <w:pPr>
        <w:jc w:val="both"/>
        <w:rPr>
          <w:rFonts w:cs="Arial"/>
          <w:szCs w:val="24"/>
        </w:rPr>
      </w:pPr>
      <w:r w:rsidRPr="00E50C12">
        <w:rPr>
          <w:rFonts w:cs="Arial"/>
          <w:szCs w:val="24"/>
        </w:rPr>
        <w:t>The grounds of appeal are:</w:t>
      </w:r>
    </w:p>
    <w:p w14:paraId="3180967E" w14:textId="77777777" w:rsidR="000F64A9" w:rsidRPr="00FE4BAE" w:rsidRDefault="000F64A9" w:rsidP="000F64A9">
      <w:pPr>
        <w:jc w:val="both"/>
        <w:rPr>
          <w:rFonts w:cs="Arial"/>
          <w:szCs w:val="24"/>
        </w:rPr>
      </w:pPr>
    </w:p>
    <w:p w14:paraId="2D1A38F1" w14:textId="77777777" w:rsidR="000F64A9" w:rsidRDefault="000F64A9" w:rsidP="000F64A9">
      <w:pPr>
        <w:numPr>
          <w:ilvl w:val="0"/>
          <w:numId w:val="11"/>
        </w:numPr>
        <w:autoSpaceDE w:val="0"/>
        <w:autoSpaceDN w:val="0"/>
        <w:adjustRightInd w:val="0"/>
        <w:jc w:val="both"/>
        <w:rPr>
          <w:rFonts w:cs="Arial"/>
          <w:szCs w:val="24"/>
        </w:rPr>
      </w:pPr>
      <w:r w:rsidRPr="00FE4BAE">
        <w:rPr>
          <w:rFonts w:cs="Arial"/>
          <w:szCs w:val="24"/>
        </w:rPr>
        <w:t xml:space="preserve">The </w:t>
      </w:r>
      <w:r>
        <w:rPr>
          <w:rFonts w:cs="Arial"/>
          <w:szCs w:val="24"/>
        </w:rPr>
        <w:t>Court of Criminal Appeal erred in holding that:</w:t>
      </w:r>
    </w:p>
    <w:p w14:paraId="62072EDF" w14:textId="77777777" w:rsidR="000F64A9" w:rsidRDefault="000F64A9" w:rsidP="000F64A9">
      <w:pPr>
        <w:autoSpaceDE w:val="0"/>
        <w:autoSpaceDN w:val="0"/>
        <w:adjustRightInd w:val="0"/>
        <w:ind w:left="720"/>
        <w:jc w:val="both"/>
        <w:rPr>
          <w:rFonts w:cs="Arial"/>
          <w:szCs w:val="24"/>
        </w:rPr>
      </w:pPr>
    </w:p>
    <w:p w14:paraId="489DF921" w14:textId="77777777" w:rsidR="000F64A9" w:rsidRDefault="000F64A9" w:rsidP="000F64A9">
      <w:pPr>
        <w:numPr>
          <w:ilvl w:val="1"/>
          <w:numId w:val="11"/>
        </w:numPr>
        <w:autoSpaceDE w:val="0"/>
        <w:autoSpaceDN w:val="0"/>
        <w:adjustRightInd w:val="0"/>
        <w:jc w:val="both"/>
        <w:rPr>
          <w:rFonts w:cs="Arial"/>
          <w:szCs w:val="24"/>
        </w:rPr>
      </w:pPr>
      <w:r>
        <w:rPr>
          <w:rFonts w:cs="Arial"/>
          <w:szCs w:val="24"/>
        </w:rPr>
        <w:t xml:space="preserve">at the time immediately prior to the enactment of the </w:t>
      </w:r>
      <w:r w:rsidRPr="004155EB">
        <w:rPr>
          <w:rFonts w:cs="Arial"/>
          <w:szCs w:val="24"/>
        </w:rPr>
        <w:t>Criminal</w:t>
      </w:r>
      <w:r w:rsidRPr="00E50C12">
        <w:rPr>
          <w:rFonts w:cs="Arial"/>
          <w:i/>
          <w:szCs w:val="24"/>
        </w:rPr>
        <w:t xml:space="preserve"> </w:t>
      </w:r>
      <w:r w:rsidRPr="004155EB">
        <w:rPr>
          <w:rFonts w:cs="Arial"/>
          <w:szCs w:val="24"/>
        </w:rPr>
        <w:t>Code</w:t>
      </w:r>
      <w:r>
        <w:rPr>
          <w:rFonts w:cs="Arial"/>
          <w:szCs w:val="24"/>
        </w:rPr>
        <w:t>, the common law rule that an agreement between two married persons could constitute a criminal conspiracy had been extinguished;</w:t>
      </w:r>
    </w:p>
    <w:p w14:paraId="6F6B31D7" w14:textId="77777777" w:rsidR="000F64A9" w:rsidRDefault="000F64A9" w:rsidP="000F64A9">
      <w:pPr>
        <w:autoSpaceDE w:val="0"/>
        <w:autoSpaceDN w:val="0"/>
        <w:adjustRightInd w:val="0"/>
        <w:ind w:left="1440"/>
        <w:jc w:val="both"/>
        <w:rPr>
          <w:rFonts w:cs="Arial"/>
          <w:szCs w:val="24"/>
        </w:rPr>
      </w:pPr>
    </w:p>
    <w:p w14:paraId="7E63F08D" w14:textId="77777777" w:rsidR="000F64A9" w:rsidRDefault="000F64A9" w:rsidP="000F64A9">
      <w:pPr>
        <w:numPr>
          <w:ilvl w:val="1"/>
          <w:numId w:val="11"/>
        </w:numPr>
        <w:autoSpaceDE w:val="0"/>
        <w:autoSpaceDN w:val="0"/>
        <w:adjustRightInd w:val="0"/>
        <w:jc w:val="both"/>
        <w:rPr>
          <w:rFonts w:cs="Arial"/>
          <w:szCs w:val="24"/>
        </w:rPr>
      </w:pPr>
      <w:r>
        <w:rPr>
          <w:rFonts w:cs="Arial"/>
          <w:szCs w:val="24"/>
        </w:rPr>
        <w:t>that common law rule should not now be maintained;</w:t>
      </w:r>
    </w:p>
    <w:p w14:paraId="5B103D58" w14:textId="77777777" w:rsidR="000F64A9" w:rsidRDefault="000F64A9" w:rsidP="000F64A9">
      <w:pPr>
        <w:autoSpaceDE w:val="0"/>
        <w:autoSpaceDN w:val="0"/>
        <w:adjustRightInd w:val="0"/>
        <w:ind w:left="1440"/>
        <w:jc w:val="both"/>
        <w:rPr>
          <w:rFonts w:cs="Arial"/>
          <w:szCs w:val="24"/>
        </w:rPr>
      </w:pPr>
    </w:p>
    <w:p w14:paraId="190E3702" w14:textId="77777777" w:rsidR="000F64A9" w:rsidRDefault="000F64A9" w:rsidP="000F64A9">
      <w:pPr>
        <w:numPr>
          <w:ilvl w:val="1"/>
          <w:numId w:val="11"/>
        </w:numPr>
        <w:autoSpaceDE w:val="0"/>
        <w:autoSpaceDN w:val="0"/>
        <w:adjustRightInd w:val="0"/>
        <w:jc w:val="both"/>
        <w:rPr>
          <w:rFonts w:cs="Arial"/>
          <w:szCs w:val="24"/>
        </w:rPr>
      </w:pPr>
      <w:r>
        <w:rPr>
          <w:rFonts w:cs="Arial"/>
          <w:szCs w:val="24"/>
        </w:rPr>
        <w:t xml:space="preserve">the </w:t>
      </w:r>
      <w:r w:rsidRPr="00104C6F">
        <w:rPr>
          <w:rFonts w:cs="Arial"/>
          <w:szCs w:val="24"/>
        </w:rPr>
        <w:t>Criminal Code</w:t>
      </w:r>
      <w:r>
        <w:rPr>
          <w:rFonts w:cs="Arial"/>
          <w:szCs w:val="24"/>
        </w:rPr>
        <w:t xml:space="preserve"> does not incorporate the common law rule.</w:t>
      </w:r>
    </w:p>
    <w:p w14:paraId="5160F9A1" w14:textId="77777777" w:rsidR="000F64A9" w:rsidRDefault="000F64A9" w:rsidP="000F64A9">
      <w:pPr>
        <w:autoSpaceDE w:val="0"/>
        <w:autoSpaceDN w:val="0"/>
        <w:adjustRightInd w:val="0"/>
        <w:ind w:left="1440"/>
        <w:jc w:val="both"/>
        <w:rPr>
          <w:rFonts w:cs="Arial"/>
          <w:szCs w:val="24"/>
        </w:rPr>
      </w:pPr>
    </w:p>
    <w:p w14:paraId="10556E48" w14:textId="77777777" w:rsidR="000F64A9" w:rsidRDefault="000F64A9" w:rsidP="000F64A9">
      <w:pPr>
        <w:numPr>
          <w:ilvl w:val="0"/>
          <w:numId w:val="11"/>
        </w:numPr>
        <w:autoSpaceDE w:val="0"/>
        <w:autoSpaceDN w:val="0"/>
        <w:adjustRightInd w:val="0"/>
        <w:jc w:val="both"/>
        <w:rPr>
          <w:rFonts w:cs="Arial"/>
          <w:szCs w:val="24"/>
        </w:rPr>
      </w:pPr>
      <w:r>
        <w:rPr>
          <w:rFonts w:cs="Arial"/>
          <w:szCs w:val="24"/>
        </w:rPr>
        <w:lastRenderedPageBreak/>
        <w:t>The Court of Criminal Appeal erred in holding that the offence of conspiracy prescribed by s</w:t>
      </w:r>
      <w:r>
        <w:rPr>
          <w:rFonts w:cs="Arial"/>
          <w:iCs/>
          <w:szCs w:val="24"/>
        </w:rPr>
        <w:t> </w:t>
      </w:r>
      <w:r>
        <w:rPr>
          <w:rFonts w:cs="Arial"/>
          <w:szCs w:val="24"/>
        </w:rPr>
        <w:t xml:space="preserve">11.5 of the </w:t>
      </w:r>
      <w:r w:rsidRPr="00104C6F">
        <w:rPr>
          <w:rFonts w:cs="Arial"/>
          <w:szCs w:val="24"/>
        </w:rPr>
        <w:t>Criminal Code</w:t>
      </w:r>
      <w:r>
        <w:rPr>
          <w:rFonts w:cs="Arial"/>
          <w:szCs w:val="24"/>
        </w:rPr>
        <w:t xml:space="preserve"> can be committed by the entry into an agreement by two married persons.</w:t>
      </w:r>
    </w:p>
    <w:p w14:paraId="1A6375D4" w14:textId="77777777" w:rsidR="00F85ED8" w:rsidRPr="00913869" w:rsidRDefault="00F85ED8" w:rsidP="00F87D0E">
      <w:pPr>
        <w:jc w:val="both"/>
      </w:pPr>
    </w:p>
    <w:sectPr w:rsidR="00F85ED8" w:rsidRPr="00913869" w:rsidSect="00F85ED8">
      <w:headerReference w:type="default" r:id="rId8"/>
      <w:headerReference w:type="first" r:id="rId9"/>
      <w:type w:val="continuous"/>
      <w:pgSz w:w="11907" w:h="16840" w:code="9"/>
      <w:pgMar w:top="851" w:right="1467" w:bottom="851" w:left="1701" w:header="244" w:footer="833" w:gutter="0"/>
      <w:paperSrc w:first="15" w:other="15"/>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590DCB" w14:textId="77777777" w:rsidR="00F85ED8" w:rsidRDefault="00F85ED8">
      <w:r>
        <w:separator/>
      </w:r>
    </w:p>
  </w:endnote>
  <w:endnote w:type="continuationSeparator" w:id="0">
    <w:p w14:paraId="3E9E14B2" w14:textId="77777777" w:rsidR="00F85ED8" w:rsidRDefault="00F8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7DA397" w14:textId="77777777" w:rsidR="00F85ED8" w:rsidRDefault="00F85ED8">
      <w:r>
        <w:separator/>
      </w:r>
    </w:p>
  </w:footnote>
  <w:footnote w:type="continuationSeparator" w:id="0">
    <w:p w14:paraId="3CC9AF58" w14:textId="77777777" w:rsidR="00F85ED8" w:rsidRDefault="00F85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5BBE65" w14:textId="77777777" w:rsidR="004B7828" w:rsidRDefault="004B7828">
    <w:pPr>
      <w:pStyle w:val="Header"/>
      <w:pBdr>
        <w:bottom w:val="single" w:sz="4" w:space="1" w:color="auto"/>
      </w:pBdr>
      <w:jc w:val="right"/>
    </w:pPr>
    <w:r>
      <w:rPr>
        <w:rStyle w:val="PageNumber"/>
      </w:rPr>
      <w:fldChar w:fldCharType="begin"/>
    </w:r>
    <w:r>
      <w:rPr>
        <w:rStyle w:val="PageNumber"/>
      </w:rPr>
      <w:instrText xml:space="preserve"> PAGE </w:instrText>
    </w:r>
    <w:r>
      <w:rPr>
        <w:rStyle w:val="PageNumber"/>
      </w:rPr>
      <w:fldChar w:fldCharType="separate"/>
    </w:r>
    <w:r w:rsidR="003C2828">
      <w:rPr>
        <w:rStyle w:val="PageNumber"/>
        <w:noProof/>
      </w:rPr>
      <w:t>0</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405DA" w14:textId="77777777" w:rsidR="004B7828" w:rsidRDefault="004B7828">
    <w:pPr>
      <w:pStyle w:val="Title"/>
    </w:pPr>
  </w:p>
  <w:p w14:paraId="22315BA8" w14:textId="77777777" w:rsidR="00F85ED8" w:rsidRDefault="00F85ED8">
    <w:pPr>
      <w:pStyle w:val="Title"/>
    </w:pPr>
  </w:p>
  <w:p w14:paraId="5A95FF3E" w14:textId="77777777" w:rsidR="004B7828" w:rsidRDefault="004B7828">
    <w:pPr>
      <w:pStyle w:val="Title"/>
    </w:pPr>
    <w:r>
      <w:t>SHORT PARTICULARS OF CASES</w:t>
    </w:r>
  </w:p>
  <w:p w14:paraId="592170FB" w14:textId="77777777" w:rsidR="004B7828" w:rsidRDefault="004B7828">
    <w:pPr>
      <w:tabs>
        <w:tab w:val="left" w:pos="851"/>
        <w:tab w:val="right" w:pos="8505"/>
      </w:tabs>
      <w:jc w:val="center"/>
      <w:rPr>
        <w:b/>
        <w:u w:val="single"/>
      </w:rPr>
    </w:pPr>
  </w:p>
  <w:p w14:paraId="72F843B8" w14:textId="77777777" w:rsidR="004B7828" w:rsidRDefault="00F85ED8">
    <w:pPr>
      <w:tabs>
        <w:tab w:val="left" w:pos="851"/>
        <w:tab w:val="right" w:pos="8505"/>
      </w:tabs>
      <w:jc w:val="center"/>
      <w:rPr>
        <w:b/>
        <w:u w:val="single"/>
      </w:rPr>
    </w:pPr>
    <w:r>
      <w:rPr>
        <w:b/>
        <w:u w:val="single"/>
      </w:rPr>
      <w:t>MARCH 2021</w:t>
    </w:r>
  </w:p>
  <w:p w14:paraId="394AD152" w14:textId="77777777" w:rsidR="004B7828" w:rsidRDefault="004B7828">
    <w:pPr>
      <w:tabs>
        <w:tab w:val="left" w:pos="851"/>
        <w:tab w:val="right" w:pos="8505"/>
      </w:tabs>
    </w:pPr>
  </w:p>
  <w:p w14:paraId="064D0ACA" w14:textId="77777777" w:rsidR="004B7828" w:rsidRDefault="004B7828">
    <w:pPr>
      <w:tabs>
        <w:tab w:val="left" w:pos="851"/>
        <w:tab w:val="right" w:pos="8505"/>
      </w:tabs>
      <w:jc w:val="both"/>
    </w:pPr>
    <w:r>
      <w:t>_______________________________________________________________</w:t>
    </w:r>
    <w:r w:rsidR="00E442CA">
      <w:t>_</w:t>
    </w:r>
  </w:p>
  <w:p w14:paraId="54A38C3F" w14:textId="77777777" w:rsidR="004B7828" w:rsidRDefault="004B7828">
    <w:pPr>
      <w:tabs>
        <w:tab w:val="left" w:pos="851"/>
        <w:tab w:val="right" w:pos="8505"/>
      </w:tabs>
      <w:jc w:val="both"/>
    </w:pPr>
  </w:p>
  <w:p w14:paraId="214834D1" w14:textId="77777777" w:rsidR="004B7828" w:rsidRDefault="004B7828">
    <w:pPr>
      <w:tabs>
        <w:tab w:val="left" w:pos="851"/>
        <w:tab w:val="right" w:pos="8505"/>
      </w:tabs>
      <w:jc w:val="both"/>
    </w:pPr>
    <w:r>
      <w:t>No.</w:t>
    </w:r>
    <w:r>
      <w:tab/>
      <w:t>Name of Matter</w:t>
    </w:r>
    <w:r>
      <w:tab/>
      <w:t>Page No</w:t>
    </w:r>
  </w:p>
  <w:p w14:paraId="6A1EE6ED" w14:textId="77777777" w:rsidR="004B7828" w:rsidRDefault="004B7828" w:rsidP="00E442CA">
    <w:pPr>
      <w:tabs>
        <w:tab w:val="left" w:pos="851"/>
        <w:tab w:val="right" w:pos="8505"/>
      </w:tabs>
      <w:jc w:val="both"/>
    </w:pPr>
    <w:r>
      <w:t>_______________________________________________________________</w:t>
    </w:r>
    <w:r w:rsidR="00E442CA">
      <w:t>_</w:t>
    </w:r>
  </w:p>
  <w:p w14:paraId="3E8E0A5C" w14:textId="77777777" w:rsidR="004B7828" w:rsidRDefault="004B7828">
    <w:pPr>
      <w:tabs>
        <w:tab w:val="left" w:pos="851"/>
        <w:tab w:val="right" w:pos="8505"/>
      </w:tabs>
      <w:jc w:val="both"/>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276C5D"/>
    <w:multiLevelType w:val="hybridMultilevel"/>
    <w:tmpl w:val="F7AE74E0"/>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1">
    <w:nsid w:val="062C633D"/>
    <w:multiLevelType w:val="hybridMultilevel"/>
    <w:tmpl w:val="79784E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1">
    <w:nsid w:val="0E255C35"/>
    <w:multiLevelType w:val="hybridMultilevel"/>
    <w:tmpl w:val="36E2DC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1">
    <w:nsid w:val="30E15D3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7B66689"/>
    <w:multiLevelType w:val="hybridMultilevel"/>
    <w:tmpl w:val="A01E05BE"/>
    <w:lvl w:ilvl="0" w:tplc="0C090011">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1">
    <w:nsid w:val="48384E9D"/>
    <w:multiLevelType w:val="singleLevel"/>
    <w:tmpl w:val="0409000F"/>
    <w:lvl w:ilvl="0">
      <w:start w:val="1"/>
      <w:numFmt w:val="decimal"/>
      <w:lvlText w:val="%1."/>
      <w:lvlJc w:val="left"/>
      <w:pPr>
        <w:tabs>
          <w:tab w:val="num" w:pos="360"/>
        </w:tabs>
        <w:ind w:left="360" w:hanging="360"/>
      </w:pPr>
    </w:lvl>
  </w:abstractNum>
  <w:abstractNum w:abstractNumId="6" w15:restartNumberingAfterBreak="1">
    <w:nsid w:val="521F2EAF"/>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7D71342"/>
    <w:multiLevelType w:val="hybridMultilevel"/>
    <w:tmpl w:val="0A1C4A9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8" w15:restartNumberingAfterBreak="0">
    <w:nsid w:val="5DD0512C"/>
    <w:multiLevelType w:val="hybridMultilevel"/>
    <w:tmpl w:val="8996D2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1">
    <w:nsid w:val="66FD3E57"/>
    <w:multiLevelType w:val="singleLevel"/>
    <w:tmpl w:val="0409000F"/>
    <w:lvl w:ilvl="0">
      <w:start w:val="1"/>
      <w:numFmt w:val="decimal"/>
      <w:lvlText w:val="%1."/>
      <w:lvlJc w:val="left"/>
      <w:pPr>
        <w:tabs>
          <w:tab w:val="num" w:pos="360"/>
        </w:tabs>
        <w:ind w:left="360" w:hanging="360"/>
      </w:pPr>
    </w:lvl>
  </w:abstractNum>
  <w:abstractNum w:abstractNumId="10" w15:restartNumberingAfterBreak="1">
    <w:nsid w:val="769806D6"/>
    <w:multiLevelType w:val="singleLevel"/>
    <w:tmpl w:val="E58EFF88"/>
    <w:lvl w:ilvl="0">
      <w:start w:val="6"/>
      <w:numFmt w:val="decimal"/>
      <w:lvlText w:val="%1."/>
      <w:lvlJc w:val="left"/>
      <w:pPr>
        <w:tabs>
          <w:tab w:val="num" w:pos="852"/>
        </w:tabs>
        <w:ind w:left="852" w:hanging="852"/>
      </w:pPr>
      <w:rPr>
        <w:rFonts w:hint="default"/>
      </w:rPr>
    </w:lvl>
  </w:abstractNum>
  <w:abstractNum w:abstractNumId="11" w15:restartNumberingAfterBreak="1">
    <w:nsid w:val="77721F51"/>
    <w:multiLevelType w:val="singleLevel"/>
    <w:tmpl w:val="1A407722"/>
    <w:lvl w:ilvl="0">
      <w:start w:val="4"/>
      <w:numFmt w:val="decimal"/>
      <w:lvlText w:val="%1."/>
      <w:lvlJc w:val="left"/>
      <w:pPr>
        <w:tabs>
          <w:tab w:val="num" w:pos="852"/>
        </w:tabs>
        <w:ind w:left="852" w:hanging="852"/>
      </w:pPr>
      <w:rPr>
        <w:rFonts w:hint="default"/>
      </w:rPr>
    </w:lvl>
  </w:abstractNum>
  <w:num w:numId="1">
    <w:abstractNumId w:val="11"/>
  </w:num>
  <w:num w:numId="2">
    <w:abstractNumId w:val="5"/>
  </w:num>
  <w:num w:numId="3">
    <w:abstractNumId w:val="3"/>
  </w:num>
  <w:num w:numId="4">
    <w:abstractNumId w:val="6"/>
  </w:num>
  <w:num w:numId="5">
    <w:abstractNumId w:val="10"/>
  </w:num>
  <w:num w:numId="6">
    <w:abstractNumId w:val="9"/>
  </w:num>
  <w:num w:numId="7">
    <w:abstractNumId w:val="1"/>
  </w:num>
  <w:num w:numId="8">
    <w:abstractNumId w:val="0"/>
  </w:num>
  <w:num w:numId="9">
    <w:abstractNumId w:val="2"/>
  </w:num>
  <w:num w:numId="10">
    <w:abstractNumId w:val="4"/>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2CA"/>
    <w:rsid w:val="00007C4E"/>
    <w:rsid w:val="000145E7"/>
    <w:rsid w:val="00020F4E"/>
    <w:rsid w:val="000B7BD8"/>
    <w:rsid w:val="000F64A9"/>
    <w:rsid w:val="0017627F"/>
    <w:rsid w:val="001A29AE"/>
    <w:rsid w:val="001D63AD"/>
    <w:rsid w:val="002E45D0"/>
    <w:rsid w:val="0038588D"/>
    <w:rsid w:val="003C2828"/>
    <w:rsid w:val="004B7828"/>
    <w:rsid w:val="004D31EA"/>
    <w:rsid w:val="004E01F2"/>
    <w:rsid w:val="00522AAC"/>
    <w:rsid w:val="00737693"/>
    <w:rsid w:val="00811E2E"/>
    <w:rsid w:val="0081224F"/>
    <w:rsid w:val="00855C0C"/>
    <w:rsid w:val="00876107"/>
    <w:rsid w:val="00913869"/>
    <w:rsid w:val="0095518B"/>
    <w:rsid w:val="00A125AB"/>
    <w:rsid w:val="00A414D3"/>
    <w:rsid w:val="00B80392"/>
    <w:rsid w:val="00BA02B7"/>
    <w:rsid w:val="00CC33BE"/>
    <w:rsid w:val="00D54CA3"/>
    <w:rsid w:val="00D7771E"/>
    <w:rsid w:val="00E442CA"/>
    <w:rsid w:val="00EB5414"/>
    <w:rsid w:val="00F03117"/>
    <w:rsid w:val="00F85ED8"/>
    <w:rsid w:val="00F87D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350D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11E2E"/>
    <w:rPr>
      <w:rFonts w:ascii="Arial" w:hAnsi="Arial"/>
      <w:sz w:val="24"/>
      <w:lang w:val="en-US"/>
    </w:rPr>
  </w:style>
  <w:style w:type="paragraph" w:styleId="Heading1">
    <w:name w:val="heading 1"/>
    <w:basedOn w:val="Normal"/>
    <w:next w:val="Normal"/>
    <w:qFormat/>
    <w:pPr>
      <w:keepNext/>
      <w:tabs>
        <w:tab w:val="left" w:pos="851"/>
        <w:tab w:val="right" w:pos="8505"/>
      </w:tabs>
      <w:outlineLvl w:val="0"/>
    </w:pPr>
    <w:rPr>
      <w:u w:val="single"/>
    </w:rPr>
  </w:style>
  <w:style w:type="paragraph" w:styleId="Heading2">
    <w:name w:val="heading 2"/>
    <w:basedOn w:val="Normal"/>
    <w:next w:val="Normal"/>
    <w:qFormat/>
    <w:pPr>
      <w:keepNext/>
      <w:tabs>
        <w:tab w:val="left" w:pos="851"/>
        <w:tab w:val="right" w:pos="8505"/>
      </w:tabs>
      <w:jc w:val="center"/>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tabs>
        <w:tab w:val="left" w:pos="851"/>
        <w:tab w:val="right" w:pos="8505"/>
      </w:tabs>
      <w:jc w:val="center"/>
    </w:pPr>
    <w:rPr>
      <w:b/>
      <w:u w:val="single"/>
    </w:rPr>
  </w:style>
  <w:style w:type="paragraph" w:styleId="BodyText">
    <w:name w:val="Body Text"/>
    <w:basedOn w:val="Normal"/>
    <w:pPr>
      <w:tabs>
        <w:tab w:val="left" w:pos="851"/>
        <w:tab w:val="right" w:pos="8505"/>
      </w:tabs>
    </w:p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uiPriority w:val="59"/>
    <w:rsid w:val="00F031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0F4E"/>
    <w:pPr>
      <w:ind w:left="720"/>
    </w:pPr>
    <w:rPr>
      <w:sz w:val="22"/>
      <w:lang w:val="en-AU" w:eastAsia="en-US"/>
    </w:rPr>
  </w:style>
  <w:style w:type="paragraph" w:styleId="NoSpacing">
    <w:name w:val="No Spacing"/>
    <w:uiPriority w:val="1"/>
    <w:qFormat/>
    <w:rsid w:val="00020F4E"/>
    <w:rPr>
      <w:rFonts w:ascii="Calibri" w:eastAsia="Calibri" w:hAnsi="Calibri"/>
      <w:sz w:val="22"/>
      <w:szCs w:val="22"/>
      <w:lang w:eastAsia="en-US"/>
    </w:rPr>
  </w:style>
  <w:style w:type="paragraph" w:styleId="NormalWeb">
    <w:name w:val="Normal (Web)"/>
    <w:basedOn w:val="Normal"/>
    <w:uiPriority w:val="99"/>
    <w:unhideWhenUsed/>
    <w:rsid w:val="001D63AD"/>
    <w:pPr>
      <w:spacing w:before="100" w:beforeAutospacing="1" w:after="100" w:afterAutospacing="1"/>
    </w:pPr>
    <w:rPr>
      <w:rFonts w:ascii="Times New Roman" w:hAnsi="Times New Roman"/>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37105-EA74-4173-B558-A1DD60A82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3496</Words>
  <Characters>17494</Characters>
  <Application>Microsoft Office Word</Application>
  <DocSecurity>0</DocSecurity>
  <Lines>437</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2021-02-22T22:41:00Z</dcterms:created>
  <dcterms:modified xsi:type="dcterms:W3CDTF">2021-02-23T23:05:00Z</dcterms:modified>
</cp:coreProperties>
</file>