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1CB7" w14:textId="77777777" w:rsidR="00647DBA" w:rsidRDefault="00647DBA" w:rsidP="00913869"/>
    <w:tbl>
      <w:tblPr>
        <w:tblW w:w="0" w:type="auto"/>
        <w:tblLook w:val="04A0" w:firstRow="1" w:lastRow="0" w:firstColumn="1" w:lastColumn="0" w:noHBand="0" w:noVBand="1"/>
      </w:tblPr>
      <w:tblGrid>
        <w:gridCol w:w="7890"/>
        <w:gridCol w:w="849"/>
      </w:tblGrid>
      <w:tr w:rsidR="00754987" w:rsidRPr="00007C4E" w14:paraId="645063D8" w14:textId="77777777" w:rsidTr="006D48FE">
        <w:tc>
          <w:tcPr>
            <w:tcW w:w="8755" w:type="dxa"/>
            <w:gridSpan w:val="2"/>
            <w:shd w:val="clear" w:color="auto" w:fill="auto"/>
          </w:tcPr>
          <w:p w14:paraId="248E26CB" w14:textId="77777777" w:rsidR="00754987" w:rsidRPr="00007C4E" w:rsidRDefault="00754987" w:rsidP="006D48FE">
            <w:pPr>
              <w:tabs>
                <w:tab w:val="left" w:pos="851"/>
                <w:tab w:val="right" w:pos="8505"/>
              </w:tabs>
              <w:jc w:val="both"/>
              <w:rPr>
                <w:u w:val="single"/>
              </w:rPr>
            </w:pPr>
            <w:r>
              <w:rPr>
                <w:u w:val="single"/>
              </w:rPr>
              <w:t xml:space="preserve">Tuesday, 8 March 2022 </w:t>
            </w:r>
          </w:p>
          <w:p w14:paraId="7C7309EA" w14:textId="77777777" w:rsidR="00754987" w:rsidRDefault="00754987" w:rsidP="006D48FE">
            <w:pPr>
              <w:pStyle w:val="Title"/>
              <w:jc w:val="left"/>
            </w:pPr>
          </w:p>
        </w:tc>
      </w:tr>
      <w:tr w:rsidR="00574B9F" w14:paraId="6C228972" w14:textId="77777777" w:rsidTr="006D48FE">
        <w:tc>
          <w:tcPr>
            <w:tcW w:w="7905" w:type="dxa"/>
            <w:shd w:val="clear" w:color="auto" w:fill="auto"/>
          </w:tcPr>
          <w:p w14:paraId="7B134FD3" w14:textId="77777777" w:rsidR="00754987" w:rsidRPr="00913869" w:rsidRDefault="00754987" w:rsidP="006D48FE">
            <w:pPr>
              <w:numPr>
                <w:ilvl w:val="0"/>
                <w:numId w:val="9"/>
              </w:numPr>
              <w:ind w:hanging="720"/>
            </w:pPr>
            <w:proofErr w:type="gramStart"/>
            <w:r>
              <w:t xml:space="preserve">Fairbairn </w:t>
            </w:r>
            <w:r w:rsidRPr="00007C4E">
              <w:t xml:space="preserve"> v</w:t>
            </w:r>
            <w:proofErr w:type="gramEnd"/>
            <w:r w:rsidRPr="00007C4E">
              <w:t xml:space="preserve">  </w:t>
            </w:r>
            <w:r>
              <w:t>Radecki</w:t>
            </w:r>
          </w:p>
        </w:tc>
        <w:tc>
          <w:tcPr>
            <w:tcW w:w="850" w:type="dxa"/>
            <w:shd w:val="clear" w:color="auto" w:fill="auto"/>
          </w:tcPr>
          <w:p w14:paraId="2EEA433F" w14:textId="77777777" w:rsidR="00754987" w:rsidRPr="00C65A07" w:rsidRDefault="00754987" w:rsidP="006D48FE">
            <w:pPr>
              <w:pStyle w:val="Title"/>
              <w:rPr>
                <w:u w:val="none"/>
              </w:rPr>
            </w:pPr>
            <w:r>
              <w:rPr>
                <w:u w:val="none"/>
              </w:rPr>
              <w:t>1</w:t>
            </w:r>
          </w:p>
        </w:tc>
      </w:tr>
    </w:tbl>
    <w:p w14:paraId="03FFD826" w14:textId="77777777" w:rsidR="00754987" w:rsidRDefault="00754987" w:rsidP="00754987"/>
    <w:p w14:paraId="0913D57E" w14:textId="77777777" w:rsidR="00754987" w:rsidRDefault="00754987" w:rsidP="00754987"/>
    <w:tbl>
      <w:tblPr>
        <w:tblW w:w="0" w:type="auto"/>
        <w:tblLook w:val="04A0" w:firstRow="1" w:lastRow="0" w:firstColumn="1" w:lastColumn="0" w:noHBand="0" w:noVBand="1"/>
      </w:tblPr>
      <w:tblGrid>
        <w:gridCol w:w="7890"/>
        <w:gridCol w:w="849"/>
      </w:tblGrid>
      <w:tr w:rsidR="00754987" w:rsidRPr="00007C4E" w14:paraId="73C838EA" w14:textId="77777777" w:rsidTr="006D48FE">
        <w:tc>
          <w:tcPr>
            <w:tcW w:w="8755" w:type="dxa"/>
            <w:gridSpan w:val="2"/>
            <w:shd w:val="clear" w:color="auto" w:fill="auto"/>
          </w:tcPr>
          <w:p w14:paraId="58F1F247" w14:textId="77777777" w:rsidR="00754987" w:rsidRPr="00007C4E" w:rsidRDefault="00754987" w:rsidP="006D48FE">
            <w:pPr>
              <w:tabs>
                <w:tab w:val="left" w:pos="851"/>
                <w:tab w:val="right" w:pos="8505"/>
              </w:tabs>
              <w:jc w:val="both"/>
              <w:rPr>
                <w:u w:val="single"/>
              </w:rPr>
            </w:pPr>
            <w:r>
              <w:rPr>
                <w:u w:val="single"/>
              </w:rPr>
              <w:t xml:space="preserve">Wednesday, 9 March 2022 </w:t>
            </w:r>
          </w:p>
          <w:p w14:paraId="54E86DC6" w14:textId="77777777" w:rsidR="00754987" w:rsidRDefault="00754987" w:rsidP="006D48FE">
            <w:pPr>
              <w:pStyle w:val="Title"/>
              <w:jc w:val="left"/>
            </w:pPr>
          </w:p>
        </w:tc>
      </w:tr>
      <w:tr w:rsidR="00574B9F" w14:paraId="088AF416" w14:textId="77777777" w:rsidTr="006D48FE">
        <w:tc>
          <w:tcPr>
            <w:tcW w:w="7905" w:type="dxa"/>
            <w:shd w:val="clear" w:color="auto" w:fill="auto"/>
          </w:tcPr>
          <w:p w14:paraId="633C701A" w14:textId="77777777" w:rsidR="00754987" w:rsidRPr="00913869" w:rsidRDefault="00754987" w:rsidP="006D48FE">
            <w:pPr>
              <w:numPr>
                <w:ilvl w:val="0"/>
                <w:numId w:val="9"/>
              </w:numPr>
              <w:ind w:hanging="720"/>
            </w:pPr>
            <w:proofErr w:type="spellStart"/>
            <w:proofErr w:type="gramStart"/>
            <w:r>
              <w:t>Thoms</w:t>
            </w:r>
            <w:proofErr w:type="spellEnd"/>
            <w:r>
              <w:t xml:space="preserve"> </w:t>
            </w:r>
            <w:r w:rsidRPr="00007C4E">
              <w:t xml:space="preserve"> v</w:t>
            </w:r>
            <w:proofErr w:type="gramEnd"/>
            <w:r w:rsidRPr="00007C4E">
              <w:t xml:space="preserve">  </w:t>
            </w:r>
            <w:r>
              <w:t>Commonwealth of Australia</w:t>
            </w:r>
          </w:p>
        </w:tc>
        <w:tc>
          <w:tcPr>
            <w:tcW w:w="850" w:type="dxa"/>
            <w:shd w:val="clear" w:color="auto" w:fill="auto"/>
          </w:tcPr>
          <w:p w14:paraId="20A58278" w14:textId="609C1CFB" w:rsidR="00754987" w:rsidRPr="00C65A07" w:rsidRDefault="00574B9F" w:rsidP="006D48FE">
            <w:pPr>
              <w:pStyle w:val="Title"/>
              <w:rPr>
                <w:u w:val="none"/>
              </w:rPr>
            </w:pPr>
            <w:r>
              <w:rPr>
                <w:u w:val="none"/>
              </w:rPr>
              <w:t>3</w:t>
            </w:r>
          </w:p>
        </w:tc>
      </w:tr>
    </w:tbl>
    <w:p w14:paraId="55C2B633" w14:textId="77777777" w:rsidR="00754987" w:rsidRDefault="00754987" w:rsidP="00754987"/>
    <w:p w14:paraId="29D4A3F0" w14:textId="77777777" w:rsidR="00754987" w:rsidRDefault="00754987" w:rsidP="00754987"/>
    <w:tbl>
      <w:tblPr>
        <w:tblW w:w="0" w:type="auto"/>
        <w:tblLook w:val="04A0" w:firstRow="1" w:lastRow="0" w:firstColumn="1" w:lastColumn="0" w:noHBand="0" w:noVBand="1"/>
      </w:tblPr>
      <w:tblGrid>
        <w:gridCol w:w="7890"/>
        <w:gridCol w:w="849"/>
      </w:tblGrid>
      <w:tr w:rsidR="00754987" w:rsidRPr="00007C4E" w14:paraId="58135DEA" w14:textId="77777777" w:rsidTr="006D48FE">
        <w:tc>
          <w:tcPr>
            <w:tcW w:w="8755" w:type="dxa"/>
            <w:gridSpan w:val="2"/>
            <w:shd w:val="clear" w:color="auto" w:fill="auto"/>
          </w:tcPr>
          <w:p w14:paraId="5DA1E6C2" w14:textId="77777777" w:rsidR="00754987" w:rsidRPr="00007C4E" w:rsidRDefault="00754987" w:rsidP="006D48FE">
            <w:pPr>
              <w:tabs>
                <w:tab w:val="left" w:pos="851"/>
                <w:tab w:val="right" w:pos="8505"/>
              </w:tabs>
              <w:jc w:val="both"/>
              <w:rPr>
                <w:u w:val="single"/>
              </w:rPr>
            </w:pPr>
            <w:r>
              <w:rPr>
                <w:u w:val="single"/>
              </w:rPr>
              <w:t xml:space="preserve">Thursday, 10 March 2022 </w:t>
            </w:r>
          </w:p>
          <w:p w14:paraId="271E7FA3" w14:textId="77777777" w:rsidR="00754987" w:rsidRDefault="00754987" w:rsidP="006D48FE">
            <w:pPr>
              <w:pStyle w:val="Title"/>
              <w:jc w:val="left"/>
            </w:pPr>
          </w:p>
        </w:tc>
      </w:tr>
      <w:tr w:rsidR="00574B9F" w14:paraId="34A87D1A" w14:textId="77777777" w:rsidTr="006D48FE">
        <w:tc>
          <w:tcPr>
            <w:tcW w:w="7905" w:type="dxa"/>
            <w:shd w:val="clear" w:color="auto" w:fill="auto"/>
          </w:tcPr>
          <w:p w14:paraId="7A06C1B5" w14:textId="77777777" w:rsidR="00754987" w:rsidRPr="00913869" w:rsidRDefault="00754987" w:rsidP="006D48FE">
            <w:pPr>
              <w:numPr>
                <w:ilvl w:val="0"/>
                <w:numId w:val="9"/>
              </w:numPr>
              <w:ind w:hanging="720"/>
            </w:pPr>
            <w:proofErr w:type="gramStart"/>
            <w:r>
              <w:t xml:space="preserve">Nathanson </w:t>
            </w:r>
            <w:r w:rsidRPr="00007C4E">
              <w:t xml:space="preserve"> v</w:t>
            </w:r>
            <w:proofErr w:type="gramEnd"/>
            <w:r w:rsidRPr="00007C4E">
              <w:t xml:space="preserve">  </w:t>
            </w:r>
            <w:r>
              <w:t>Minister for Home Affairs &amp; Anor</w:t>
            </w:r>
          </w:p>
        </w:tc>
        <w:tc>
          <w:tcPr>
            <w:tcW w:w="850" w:type="dxa"/>
            <w:shd w:val="clear" w:color="auto" w:fill="auto"/>
          </w:tcPr>
          <w:p w14:paraId="70422593" w14:textId="37FEFF1A" w:rsidR="00754987" w:rsidRPr="00C65A07" w:rsidRDefault="00A97BBB" w:rsidP="006D48FE">
            <w:pPr>
              <w:pStyle w:val="Title"/>
              <w:rPr>
                <w:u w:val="none"/>
              </w:rPr>
            </w:pPr>
            <w:r>
              <w:rPr>
                <w:u w:val="none"/>
              </w:rPr>
              <w:t>4</w:t>
            </w:r>
          </w:p>
        </w:tc>
      </w:tr>
    </w:tbl>
    <w:p w14:paraId="3ED41C4C" w14:textId="77777777" w:rsidR="00754987" w:rsidRDefault="00754987" w:rsidP="00754987"/>
    <w:p w14:paraId="6A4E5EE2" w14:textId="77777777" w:rsidR="00754987" w:rsidRDefault="00754987" w:rsidP="00754987"/>
    <w:tbl>
      <w:tblPr>
        <w:tblW w:w="0" w:type="auto"/>
        <w:tblLook w:val="04A0" w:firstRow="1" w:lastRow="0" w:firstColumn="1" w:lastColumn="0" w:noHBand="0" w:noVBand="1"/>
      </w:tblPr>
      <w:tblGrid>
        <w:gridCol w:w="7890"/>
        <w:gridCol w:w="849"/>
      </w:tblGrid>
      <w:tr w:rsidR="00754987" w:rsidRPr="00007C4E" w14:paraId="28D7F642" w14:textId="77777777" w:rsidTr="006D48FE">
        <w:tc>
          <w:tcPr>
            <w:tcW w:w="8755" w:type="dxa"/>
            <w:gridSpan w:val="2"/>
            <w:shd w:val="clear" w:color="auto" w:fill="auto"/>
          </w:tcPr>
          <w:p w14:paraId="5B9AE4AF" w14:textId="402EDDD7" w:rsidR="00754987" w:rsidRPr="00007C4E" w:rsidRDefault="00754987" w:rsidP="006D48FE">
            <w:pPr>
              <w:tabs>
                <w:tab w:val="left" w:pos="851"/>
                <w:tab w:val="right" w:pos="8505"/>
              </w:tabs>
              <w:jc w:val="both"/>
              <w:rPr>
                <w:u w:val="single"/>
              </w:rPr>
            </w:pPr>
            <w:r>
              <w:rPr>
                <w:u w:val="single"/>
              </w:rPr>
              <w:t xml:space="preserve">Thursday, 10 </w:t>
            </w:r>
            <w:r w:rsidR="008640C8">
              <w:rPr>
                <w:u w:val="single"/>
              </w:rPr>
              <w:t xml:space="preserve">March 2022 </w:t>
            </w:r>
            <w:r>
              <w:rPr>
                <w:u w:val="single"/>
              </w:rPr>
              <w:t xml:space="preserve">and Friday, 11 March 2022 </w:t>
            </w:r>
          </w:p>
          <w:p w14:paraId="6043EC95" w14:textId="77777777" w:rsidR="00754987" w:rsidRDefault="00754987" w:rsidP="006D48FE">
            <w:pPr>
              <w:pStyle w:val="Title"/>
              <w:jc w:val="left"/>
            </w:pPr>
          </w:p>
        </w:tc>
      </w:tr>
      <w:tr w:rsidR="00574B9F" w14:paraId="6579EEB2" w14:textId="77777777" w:rsidTr="006D48FE">
        <w:tc>
          <w:tcPr>
            <w:tcW w:w="7905" w:type="dxa"/>
            <w:shd w:val="clear" w:color="auto" w:fill="auto"/>
          </w:tcPr>
          <w:p w14:paraId="000F0B8F" w14:textId="77777777" w:rsidR="00754987" w:rsidRPr="00913869" w:rsidRDefault="00754987" w:rsidP="006D48FE">
            <w:pPr>
              <w:numPr>
                <w:ilvl w:val="0"/>
                <w:numId w:val="9"/>
              </w:numPr>
              <w:ind w:hanging="720"/>
            </w:pPr>
            <w:proofErr w:type="spellStart"/>
            <w:proofErr w:type="gramStart"/>
            <w:r>
              <w:t>Garlett</w:t>
            </w:r>
            <w:proofErr w:type="spellEnd"/>
            <w:r>
              <w:t xml:space="preserve"> </w:t>
            </w:r>
            <w:r w:rsidRPr="00007C4E">
              <w:t xml:space="preserve"> v</w:t>
            </w:r>
            <w:proofErr w:type="gramEnd"/>
            <w:r w:rsidRPr="00007C4E">
              <w:t xml:space="preserve">  </w:t>
            </w:r>
            <w:r>
              <w:t>The State of Western Australia &amp; Anor</w:t>
            </w:r>
          </w:p>
        </w:tc>
        <w:tc>
          <w:tcPr>
            <w:tcW w:w="850" w:type="dxa"/>
            <w:shd w:val="clear" w:color="auto" w:fill="auto"/>
          </w:tcPr>
          <w:p w14:paraId="5C3B2EA9" w14:textId="59E43132" w:rsidR="00754987" w:rsidRPr="00C65A07" w:rsidRDefault="00FA1CF7" w:rsidP="006D48FE">
            <w:pPr>
              <w:pStyle w:val="Title"/>
              <w:rPr>
                <w:u w:val="none"/>
              </w:rPr>
            </w:pPr>
            <w:r>
              <w:rPr>
                <w:u w:val="none"/>
              </w:rPr>
              <w:t>5</w:t>
            </w:r>
          </w:p>
        </w:tc>
      </w:tr>
    </w:tbl>
    <w:p w14:paraId="11C72052" w14:textId="77777777" w:rsidR="00754987" w:rsidRDefault="00754987" w:rsidP="00754987"/>
    <w:p w14:paraId="1F2FB4B8" w14:textId="77777777" w:rsidR="00754987" w:rsidRDefault="00754987" w:rsidP="00754987"/>
    <w:tbl>
      <w:tblPr>
        <w:tblW w:w="0" w:type="auto"/>
        <w:tblLook w:val="04A0" w:firstRow="1" w:lastRow="0" w:firstColumn="1" w:lastColumn="0" w:noHBand="0" w:noVBand="1"/>
      </w:tblPr>
      <w:tblGrid>
        <w:gridCol w:w="7890"/>
        <w:gridCol w:w="849"/>
      </w:tblGrid>
      <w:tr w:rsidR="00754987" w:rsidRPr="00007C4E" w14:paraId="7C527D64" w14:textId="77777777" w:rsidTr="006D48FE">
        <w:tc>
          <w:tcPr>
            <w:tcW w:w="8755" w:type="dxa"/>
            <w:gridSpan w:val="2"/>
            <w:shd w:val="clear" w:color="auto" w:fill="auto"/>
          </w:tcPr>
          <w:p w14:paraId="0434C2E6" w14:textId="77777777" w:rsidR="00754987" w:rsidRPr="00007C4E" w:rsidRDefault="00754987" w:rsidP="006D48FE">
            <w:pPr>
              <w:tabs>
                <w:tab w:val="left" w:pos="851"/>
                <w:tab w:val="right" w:pos="8505"/>
              </w:tabs>
              <w:jc w:val="both"/>
              <w:rPr>
                <w:u w:val="single"/>
              </w:rPr>
            </w:pPr>
            <w:r>
              <w:rPr>
                <w:u w:val="single"/>
              </w:rPr>
              <w:t xml:space="preserve">Tuesday, 15 March 2022 </w:t>
            </w:r>
          </w:p>
          <w:p w14:paraId="7725B30A" w14:textId="77777777" w:rsidR="00754987" w:rsidRDefault="00754987" w:rsidP="006D48FE">
            <w:pPr>
              <w:pStyle w:val="Title"/>
              <w:jc w:val="left"/>
            </w:pPr>
          </w:p>
        </w:tc>
      </w:tr>
      <w:tr w:rsidR="00574B9F" w14:paraId="363CDDFE" w14:textId="77777777" w:rsidTr="006D48FE">
        <w:tc>
          <w:tcPr>
            <w:tcW w:w="7905" w:type="dxa"/>
            <w:shd w:val="clear" w:color="auto" w:fill="auto"/>
          </w:tcPr>
          <w:p w14:paraId="03A161CA" w14:textId="77777777" w:rsidR="00754987" w:rsidRPr="00913869" w:rsidRDefault="00754987" w:rsidP="006D48FE">
            <w:pPr>
              <w:numPr>
                <w:ilvl w:val="0"/>
                <w:numId w:val="9"/>
              </w:numPr>
              <w:ind w:hanging="720"/>
            </w:pPr>
            <w:proofErr w:type="gramStart"/>
            <w:r>
              <w:t xml:space="preserve">Bell </w:t>
            </w:r>
            <w:r w:rsidRPr="00007C4E">
              <w:t xml:space="preserve"> v</w:t>
            </w:r>
            <w:proofErr w:type="gramEnd"/>
            <w:r w:rsidRPr="00007C4E">
              <w:t xml:space="preserve">  </w:t>
            </w:r>
            <w:r>
              <w:t>The Queen</w:t>
            </w:r>
          </w:p>
        </w:tc>
        <w:tc>
          <w:tcPr>
            <w:tcW w:w="850" w:type="dxa"/>
            <w:shd w:val="clear" w:color="auto" w:fill="auto"/>
          </w:tcPr>
          <w:p w14:paraId="61312A9E" w14:textId="445EA900" w:rsidR="00754987" w:rsidRPr="00C65A07" w:rsidRDefault="004B1F9E" w:rsidP="006D48FE">
            <w:pPr>
              <w:pStyle w:val="Title"/>
              <w:rPr>
                <w:u w:val="none"/>
              </w:rPr>
            </w:pPr>
            <w:r>
              <w:rPr>
                <w:u w:val="none"/>
              </w:rPr>
              <w:t>7</w:t>
            </w:r>
          </w:p>
        </w:tc>
      </w:tr>
    </w:tbl>
    <w:p w14:paraId="581D3702" w14:textId="77777777" w:rsidR="00754987" w:rsidRDefault="00754987" w:rsidP="00754987"/>
    <w:p w14:paraId="73D42A7B" w14:textId="77777777" w:rsidR="00754987" w:rsidRDefault="00754987" w:rsidP="00754987"/>
    <w:tbl>
      <w:tblPr>
        <w:tblW w:w="0" w:type="auto"/>
        <w:tblLook w:val="04A0" w:firstRow="1" w:lastRow="0" w:firstColumn="1" w:lastColumn="0" w:noHBand="0" w:noVBand="1"/>
      </w:tblPr>
      <w:tblGrid>
        <w:gridCol w:w="7890"/>
        <w:gridCol w:w="849"/>
      </w:tblGrid>
      <w:tr w:rsidR="00754987" w:rsidRPr="00007C4E" w14:paraId="528A536E" w14:textId="77777777" w:rsidTr="006D48FE">
        <w:tc>
          <w:tcPr>
            <w:tcW w:w="8755" w:type="dxa"/>
            <w:gridSpan w:val="2"/>
            <w:shd w:val="clear" w:color="auto" w:fill="auto"/>
          </w:tcPr>
          <w:p w14:paraId="2D6E99F6" w14:textId="77777777" w:rsidR="00754987" w:rsidRPr="00007C4E" w:rsidRDefault="00754987" w:rsidP="006D48FE">
            <w:pPr>
              <w:tabs>
                <w:tab w:val="left" w:pos="851"/>
                <w:tab w:val="right" w:pos="8505"/>
              </w:tabs>
              <w:jc w:val="both"/>
              <w:rPr>
                <w:u w:val="single"/>
              </w:rPr>
            </w:pPr>
            <w:r>
              <w:rPr>
                <w:u w:val="single"/>
              </w:rPr>
              <w:t xml:space="preserve">Wednesday, 16 March 2022 </w:t>
            </w:r>
          </w:p>
          <w:p w14:paraId="07152DCA" w14:textId="77777777" w:rsidR="00754987" w:rsidRDefault="00754987" w:rsidP="006D48FE">
            <w:pPr>
              <w:pStyle w:val="Title"/>
              <w:jc w:val="left"/>
            </w:pPr>
          </w:p>
        </w:tc>
      </w:tr>
      <w:tr w:rsidR="00574B9F" w14:paraId="106B4929" w14:textId="77777777" w:rsidTr="006D48FE">
        <w:tc>
          <w:tcPr>
            <w:tcW w:w="7905" w:type="dxa"/>
            <w:shd w:val="clear" w:color="auto" w:fill="auto"/>
          </w:tcPr>
          <w:p w14:paraId="1FAF93E1" w14:textId="17EFFFF2" w:rsidR="00754987" w:rsidRPr="00913869" w:rsidRDefault="00754987" w:rsidP="006D48FE">
            <w:pPr>
              <w:numPr>
                <w:ilvl w:val="0"/>
                <w:numId w:val="9"/>
              </w:numPr>
              <w:ind w:hanging="720"/>
            </w:pPr>
            <w:proofErr w:type="gramStart"/>
            <w:r>
              <w:t xml:space="preserve">Hoang </w:t>
            </w:r>
            <w:r w:rsidRPr="00007C4E">
              <w:t xml:space="preserve"> v</w:t>
            </w:r>
            <w:proofErr w:type="gramEnd"/>
            <w:r w:rsidRPr="00007C4E">
              <w:t xml:space="preserve">  </w:t>
            </w:r>
            <w:r>
              <w:t>The Queen</w:t>
            </w:r>
            <w:r w:rsidR="005B162D">
              <w:t xml:space="preserve">  </w:t>
            </w:r>
            <w:bookmarkStart w:id="0" w:name="_GoBack"/>
            <w:bookmarkEnd w:id="0"/>
            <w:r w:rsidR="005B162D">
              <w:t>(4 appeals)</w:t>
            </w:r>
          </w:p>
        </w:tc>
        <w:tc>
          <w:tcPr>
            <w:tcW w:w="850" w:type="dxa"/>
            <w:shd w:val="clear" w:color="auto" w:fill="auto"/>
          </w:tcPr>
          <w:p w14:paraId="2DC8EE50" w14:textId="39DB78B1" w:rsidR="00754987" w:rsidRPr="00C65A07" w:rsidRDefault="00677CB9" w:rsidP="006D48FE">
            <w:pPr>
              <w:pStyle w:val="Title"/>
              <w:rPr>
                <w:u w:val="none"/>
              </w:rPr>
            </w:pPr>
            <w:r>
              <w:rPr>
                <w:u w:val="none"/>
              </w:rPr>
              <w:t>8</w:t>
            </w:r>
          </w:p>
        </w:tc>
      </w:tr>
    </w:tbl>
    <w:p w14:paraId="66FBA0AB" w14:textId="77777777" w:rsidR="00647DBA" w:rsidRDefault="00647DBA" w:rsidP="00913869"/>
    <w:p w14:paraId="5E4FB2C3" w14:textId="77777777" w:rsidR="00647DBA" w:rsidRDefault="00647DBA" w:rsidP="00913869"/>
    <w:p w14:paraId="3289B93C" w14:textId="77777777" w:rsidR="00214DD7" w:rsidRPr="00214DD7" w:rsidRDefault="00214DD7" w:rsidP="00214DD7"/>
    <w:p w14:paraId="6893F6D4" w14:textId="77777777" w:rsidR="00214DD7" w:rsidRPr="00214DD7" w:rsidRDefault="00214DD7" w:rsidP="00214DD7"/>
    <w:p w14:paraId="0F712086" w14:textId="77777777" w:rsidR="00214DD7" w:rsidRPr="00214DD7" w:rsidRDefault="00214DD7" w:rsidP="00214DD7"/>
    <w:p w14:paraId="01F971AD" w14:textId="77777777" w:rsidR="00214DD7" w:rsidRPr="00214DD7" w:rsidRDefault="00214DD7" w:rsidP="00214DD7"/>
    <w:p w14:paraId="598AA7C7" w14:textId="77777777" w:rsidR="00214DD7" w:rsidRPr="00214DD7" w:rsidRDefault="00214DD7" w:rsidP="00214DD7"/>
    <w:p w14:paraId="37536466" w14:textId="77777777" w:rsidR="00214DD7" w:rsidRPr="00214DD7" w:rsidRDefault="00214DD7" w:rsidP="00214DD7"/>
    <w:p w14:paraId="153F6523" w14:textId="77777777" w:rsidR="00214DD7" w:rsidRPr="00214DD7" w:rsidRDefault="00214DD7" w:rsidP="00214DD7"/>
    <w:p w14:paraId="3C17BF84" w14:textId="77777777" w:rsidR="00214DD7" w:rsidRPr="00214DD7" w:rsidRDefault="00214DD7" w:rsidP="00214DD7"/>
    <w:p w14:paraId="761AEF96" w14:textId="77777777" w:rsidR="00214DD7" w:rsidRPr="00214DD7" w:rsidRDefault="00214DD7" w:rsidP="00214DD7"/>
    <w:p w14:paraId="02663605" w14:textId="77777777" w:rsidR="00214DD7" w:rsidRPr="00214DD7" w:rsidRDefault="00214DD7" w:rsidP="00214DD7"/>
    <w:p w14:paraId="26332048" w14:textId="77777777" w:rsidR="00214DD7" w:rsidRPr="00214DD7" w:rsidRDefault="00214DD7" w:rsidP="00214DD7"/>
    <w:p w14:paraId="69159ACF" w14:textId="2A201470" w:rsidR="00214DD7" w:rsidRDefault="00214DD7" w:rsidP="00214DD7">
      <w:pPr>
        <w:tabs>
          <w:tab w:val="left" w:pos="5362"/>
        </w:tabs>
      </w:pPr>
    </w:p>
    <w:p w14:paraId="2BBCC69C" w14:textId="33527C9A" w:rsidR="00A362D2" w:rsidRDefault="00A362D2">
      <w:r>
        <w:br w:type="page"/>
      </w:r>
    </w:p>
    <w:p w14:paraId="08308F14" w14:textId="77777777" w:rsidR="00A362D2" w:rsidRPr="006B3EDF" w:rsidRDefault="00A362D2" w:rsidP="00A362D2">
      <w:pPr>
        <w:pStyle w:val="NoSpacing"/>
        <w:rPr>
          <w:rFonts w:ascii="Arial" w:eastAsia="Times New Roman" w:hAnsi="Arial" w:cs="Arial"/>
          <w:b/>
          <w:color w:val="000000"/>
          <w:sz w:val="28"/>
          <w:szCs w:val="28"/>
          <w:u w:val="single"/>
          <w:lang w:eastAsia="en-AU"/>
        </w:rPr>
      </w:pPr>
      <w:r>
        <w:rPr>
          <w:rFonts w:ascii="Arial" w:eastAsia="Times New Roman" w:hAnsi="Arial" w:cs="Arial"/>
          <w:b/>
          <w:color w:val="000000"/>
          <w:sz w:val="28"/>
          <w:szCs w:val="28"/>
          <w:u w:val="single"/>
          <w:lang w:eastAsia="en-AU"/>
        </w:rPr>
        <w:lastRenderedPageBreak/>
        <w:t>FAIRBAIRN</w:t>
      </w:r>
      <w:r w:rsidRPr="006B3EDF">
        <w:rPr>
          <w:rFonts w:ascii="Arial" w:eastAsia="Times New Roman" w:hAnsi="Arial" w:cs="Arial"/>
          <w:b/>
          <w:color w:val="000000"/>
          <w:sz w:val="28"/>
          <w:szCs w:val="28"/>
          <w:u w:val="single"/>
          <w:lang w:eastAsia="en-AU"/>
        </w:rPr>
        <w:t xml:space="preserve"> v </w:t>
      </w:r>
      <w:r>
        <w:rPr>
          <w:rFonts w:ascii="Arial" w:eastAsia="Times New Roman" w:hAnsi="Arial" w:cs="Arial"/>
          <w:b/>
          <w:color w:val="000000"/>
          <w:sz w:val="28"/>
          <w:szCs w:val="28"/>
          <w:u w:val="single"/>
          <w:lang w:eastAsia="en-AU"/>
        </w:rPr>
        <w:t>RADECKI</w:t>
      </w:r>
      <w:r w:rsidRPr="006B3EDF">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S179</w:t>
      </w:r>
      <w:r w:rsidRPr="006B3EDF">
        <w:rPr>
          <w:rFonts w:ascii="Arial" w:eastAsia="Times New Roman" w:hAnsi="Arial" w:cs="Arial"/>
          <w:b/>
          <w:color w:val="000000"/>
          <w:sz w:val="28"/>
          <w:szCs w:val="28"/>
          <w:lang w:eastAsia="en-AU"/>
        </w:rPr>
        <w:t>/202</w:t>
      </w:r>
      <w:r>
        <w:rPr>
          <w:rFonts w:ascii="Arial" w:eastAsia="Times New Roman" w:hAnsi="Arial" w:cs="Arial"/>
          <w:b/>
          <w:color w:val="000000"/>
          <w:sz w:val="28"/>
          <w:szCs w:val="28"/>
          <w:lang w:eastAsia="en-AU"/>
        </w:rPr>
        <w:t>1</w:t>
      </w:r>
      <w:r w:rsidRPr="006B3EDF">
        <w:rPr>
          <w:rFonts w:ascii="Arial" w:eastAsia="Times New Roman" w:hAnsi="Arial" w:cs="Arial"/>
          <w:b/>
          <w:color w:val="000000"/>
          <w:sz w:val="28"/>
          <w:szCs w:val="28"/>
          <w:lang w:eastAsia="en-AU"/>
        </w:rPr>
        <w:t>)</w:t>
      </w:r>
    </w:p>
    <w:p w14:paraId="49ED98B4" w14:textId="77777777" w:rsidR="00A362D2" w:rsidRPr="006B3EDF" w:rsidRDefault="00A362D2" w:rsidP="00A362D2">
      <w:pPr>
        <w:ind w:left="2694" w:hanging="2694"/>
        <w:rPr>
          <w:rFonts w:cs="Arial"/>
          <w:szCs w:val="24"/>
        </w:rPr>
      </w:pPr>
    </w:p>
    <w:p w14:paraId="3B081233" w14:textId="77777777" w:rsidR="00A362D2" w:rsidRPr="006B3EDF" w:rsidRDefault="00A362D2" w:rsidP="00A362D2">
      <w:pPr>
        <w:ind w:left="2552" w:hanging="2552"/>
        <w:rPr>
          <w:rFonts w:cs="Arial"/>
          <w:szCs w:val="24"/>
        </w:rPr>
      </w:pPr>
      <w:r w:rsidRPr="006B3EDF">
        <w:rPr>
          <w:rFonts w:cs="Arial"/>
          <w:szCs w:val="24"/>
          <w:u w:val="single"/>
        </w:rPr>
        <w:t>Court appealed from</w:t>
      </w:r>
      <w:r w:rsidRPr="006B3EDF">
        <w:rPr>
          <w:rFonts w:cs="Arial"/>
          <w:szCs w:val="24"/>
        </w:rPr>
        <w:t>:</w:t>
      </w:r>
      <w:r w:rsidRPr="006B3EDF">
        <w:rPr>
          <w:rFonts w:cs="Arial"/>
          <w:szCs w:val="24"/>
        </w:rPr>
        <w:tab/>
        <w:t>Full Court of the Family Court of Australia</w:t>
      </w:r>
    </w:p>
    <w:p w14:paraId="3FAEFC14" w14:textId="77777777" w:rsidR="00A362D2" w:rsidRPr="006B3EDF" w:rsidRDefault="00A362D2" w:rsidP="00A362D2">
      <w:pPr>
        <w:ind w:left="2552"/>
        <w:rPr>
          <w:rFonts w:cs="Arial"/>
          <w:szCs w:val="24"/>
        </w:rPr>
      </w:pPr>
      <w:r w:rsidRPr="006B3EDF">
        <w:rPr>
          <w:rFonts w:cs="Arial"/>
          <w:szCs w:val="24"/>
        </w:rPr>
        <w:t>[20</w:t>
      </w:r>
      <w:r>
        <w:rPr>
          <w:rFonts w:cs="Arial"/>
          <w:szCs w:val="24"/>
        </w:rPr>
        <w:t>20</w:t>
      </w:r>
      <w:r w:rsidRPr="006B3EDF">
        <w:rPr>
          <w:rFonts w:cs="Arial"/>
          <w:szCs w:val="24"/>
        </w:rPr>
        <w:t xml:space="preserve">] </w:t>
      </w:r>
      <w:proofErr w:type="spellStart"/>
      <w:r w:rsidRPr="006B3EDF">
        <w:rPr>
          <w:rFonts w:cs="Arial"/>
          <w:szCs w:val="24"/>
        </w:rPr>
        <w:t>FamCAFC</w:t>
      </w:r>
      <w:proofErr w:type="spellEnd"/>
      <w:r w:rsidRPr="006B3EDF">
        <w:rPr>
          <w:rFonts w:cs="Arial"/>
          <w:szCs w:val="24"/>
        </w:rPr>
        <w:t xml:space="preserve"> </w:t>
      </w:r>
      <w:r>
        <w:rPr>
          <w:rFonts w:cs="Arial"/>
          <w:szCs w:val="24"/>
        </w:rPr>
        <w:t>307</w:t>
      </w:r>
    </w:p>
    <w:p w14:paraId="37096508" w14:textId="77777777" w:rsidR="00A362D2" w:rsidRPr="006B3EDF" w:rsidRDefault="00A362D2" w:rsidP="00A362D2">
      <w:pPr>
        <w:ind w:left="2694" w:hanging="2694"/>
        <w:rPr>
          <w:rFonts w:cs="Arial"/>
          <w:szCs w:val="24"/>
        </w:rPr>
      </w:pPr>
    </w:p>
    <w:p w14:paraId="7E75AE9B" w14:textId="77777777" w:rsidR="00A362D2" w:rsidRPr="006B3EDF" w:rsidRDefault="00A362D2" w:rsidP="00A362D2">
      <w:pPr>
        <w:ind w:left="2552" w:hanging="2552"/>
        <w:rPr>
          <w:rFonts w:cs="Arial"/>
          <w:szCs w:val="24"/>
        </w:rPr>
      </w:pPr>
      <w:r w:rsidRPr="006B3EDF">
        <w:rPr>
          <w:rFonts w:cs="Arial"/>
          <w:szCs w:val="24"/>
          <w:u w:val="single"/>
        </w:rPr>
        <w:t>Date of judgment</w:t>
      </w:r>
      <w:r w:rsidRPr="006B3EDF">
        <w:rPr>
          <w:rFonts w:cs="Arial"/>
          <w:szCs w:val="24"/>
        </w:rPr>
        <w:t>:</w:t>
      </w:r>
      <w:r w:rsidRPr="006B3EDF">
        <w:rPr>
          <w:rFonts w:cs="Arial"/>
          <w:szCs w:val="24"/>
        </w:rPr>
        <w:tab/>
      </w:r>
      <w:r>
        <w:rPr>
          <w:rFonts w:cs="Arial"/>
          <w:szCs w:val="24"/>
        </w:rPr>
        <w:t>11 December 2020</w:t>
      </w:r>
    </w:p>
    <w:p w14:paraId="03B87430" w14:textId="77777777" w:rsidR="00A362D2" w:rsidRPr="006B3EDF" w:rsidRDefault="00A362D2" w:rsidP="00A362D2">
      <w:pPr>
        <w:ind w:left="2552" w:hanging="2552"/>
        <w:rPr>
          <w:rFonts w:cs="Arial"/>
          <w:szCs w:val="24"/>
        </w:rPr>
      </w:pPr>
    </w:p>
    <w:p w14:paraId="564DFCEC" w14:textId="77777777" w:rsidR="00A362D2" w:rsidRPr="006B3EDF" w:rsidRDefault="00A362D2" w:rsidP="00A362D2">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 xml:space="preserve">15 October </w:t>
      </w:r>
      <w:r w:rsidRPr="006B3EDF">
        <w:rPr>
          <w:rFonts w:cs="Arial"/>
          <w:szCs w:val="24"/>
        </w:rPr>
        <w:t>202</w:t>
      </w:r>
      <w:r>
        <w:rPr>
          <w:rFonts w:cs="Arial"/>
          <w:szCs w:val="24"/>
        </w:rPr>
        <w:t>1</w:t>
      </w:r>
    </w:p>
    <w:p w14:paraId="08ECDF60" w14:textId="77777777" w:rsidR="00A362D2" w:rsidRDefault="00A362D2" w:rsidP="00A362D2">
      <w:pPr>
        <w:rPr>
          <w:rFonts w:cs="Arial"/>
          <w:szCs w:val="24"/>
        </w:rPr>
      </w:pPr>
    </w:p>
    <w:p w14:paraId="02422019" w14:textId="77777777" w:rsidR="00A362D2" w:rsidRDefault="00A362D2" w:rsidP="00AA49B6">
      <w:pPr>
        <w:jc w:val="both"/>
        <w:rPr>
          <w:rFonts w:cs="Arial"/>
          <w:szCs w:val="24"/>
        </w:rPr>
      </w:pPr>
      <w:r>
        <w:rPr>
          <w:rFonts w:cs="Arial"/>
          <w:szCs w:val="24"/>
        </w:rPr>
        <w:t>In or about late 2005, the Respondent (“</w:t>
      </w:r>
      <w:proofErr w:type="spellStart"/>
      <w:r>
        <w:rPr>
          <w:rFonts w:cs="Arial"/>
          <w:szCs w:val="24"/>
        </w:rPr>
        <w:t>Mr</w:t>
      </w:r>
      <w:proofErr w:type="spellEnd"/>
      <w:r>
        <w:rPr>
          <w:rFonts w:cs="Arial"/>
          <w:szCs w:val="24"/>
        </w:rPr>
        <w:t xml:space="preserve"> Radecki”) moved into the rural home of the Appellant (“</w:t>
      </w:r>
      <w:proofErr w:type="spellStart"/>
      <w:r>
        <w:rPr>
          <w:rFonts w:cs="Arial"/>
          <w:szCs w:val="24"/>
        </w:rPr>
        <w:t>Ms</w:t>
      </w:r>
      <w:proofErr w:type="spellEnd"/>
      <w:r>
        <w:rPr>
          <w:rFonts w:cs="Arial"/>
          <w:szCs w:val="24"/>
        </w:rPr>
        <w:t xml:space="preserve"> Fairbairn”), initially paying board before the parties commenced a de facto relationship.  In 2010 and 2015 the parties executed cohabitation agreements, quarantining their respective property.  </w:t>
      </w:r>
      <w:proofErr w:type="spellStart"/>
      <w:r>
        <w:rPr>
          <w:rFonts w:cs="Arial"/>
          <w:szCs w:val="24"/>
        </w:rPr>
        <w:t>Ms</w:t>
      </w:r>
      <w:proofErr w:type="spellEnd"/>
      <w:r>
        <w:rPr>
          <w:rFonts w:cs="Arial"/>
          <w:szCs w:val="24"/>
        </w:rPr>
        <w:t xml:space="preserve"> Fairbairn updated her will in 2016 such that </w:t>
      </w:r>
      <w:proofErr w:type="spellStart"/>
      <w:r>
        <w:rPr>
          <w:rFonts w:cs="Arial"/>
          <w:szCs w:val="24"/>
        </w:rPr>
        <w:t>Mr</w:t>
      </w:r>
      <w:proofErr w:type="spellEnd"/>
      <w:r>
        <w:rPr>
          <w:rFonts w:cs="Arial"/>
          <w:szCs w:val="24"/>
        </w:rPr>
        <w:t xml:space="preserve"> Radecki, who had not previously been a beneficiary, was entitled to continue to reside at </w:t>
      </w:r>
      <w:proofErr w:type="spellStart"/>
      <w:r>
        <w:rPr>
          <w:rFonts w:cs="Arial"/>
          <w:szCs w:val="24"/>
        </w:rPr>
        <w:t>Ms</w:t>
      </w:r>
      <w:proofErr w:type="spellEnd"/>
      <w:r>
        <w:rPr>
          <w:rFonts w:cs="Arial"/>
          <w:szCs w:val="24"/>
        </w:rPr>
        <w:t xml:space="preserve"> Fairbairn’s farm for up to six months after her death, her two adult children however remaining the primary beneficiaries.</w:t>
      </w:r>
    </w:p>
    <w:p w14:paraId="2B04814D" w14:textId="36725E30" w:rsidR="00A362D2" w:rsidRDefault="00A362D2" w:rsidP="00AA49B6">
      <w:pPr>
        <w:tabs>
          <w:tab w:val="left" w:pos="5362"/>
        </w:tabs>
        <w:jc w:val="both"/>
        <w:rPr>
          <w:b/>
          <w:bCs/>
          <w:sz w:val="28"/>
          <w:szCs w:val="28"/>
          <w:u w:val="single"/>
        </w:rPr>
      </w:pPr>
    </w:p>
    <w:p w14:paraId="3895AC1C" w14:textId="77777777" w:rsidR="00A362D2" w:rsidRDefault="00A362D2" w:rsidP="00AA49B6">
      <w:pPr>
        <w:jc w:val="both"/>
        <w:rPr>
          <w:rFonts w:cs="Arial"/>
          <w:szCs w:val="24"/>
        </w:rPr>
      </w:pPr>
      <w:proofErr w:type="spellStart"/>
      <w:r>
        <w:rPr>
          <w:rFonts w:cs="Arial"/>
          <w:szCs w:val="24"/>
        </w:rPr>
        <w:t>Ms</w:t>
      </w:r>
      <w:proofErr w:type="spellEnd"/>
      <w:r>
        <w:rPr>
          <w:rFonts w:cs="Arial"/>
          <w:szCs w:val="24"/>
        </w:rPr>
        <w:t xml:space="preserve"> Fairbairn experienced cognitive decline and in 2017 she was diagnosed with a progressive form of dementia.  In January 2018 she entered an aged care facility.  The NSW Trustee and Guardian (“the Trustee”) was then appointed as legal guardian and financial manager of</w:t>
      </w:r>
      <w:r w:rsidRPr="00E24934">
        <w:rPr>
          <w:rFonts w:cs="Arial"/>
          <w:szCs w:val="24"/>
        </w:rPr>
        <w:t xml:space="preserve"> </w:t>
      </w:r>
      <w:proofErr w:type="spellStart"/>
      <w:r>
        <w:rPr>
          <w:rFonts w:cs="Arial"/>
          <w:szCs w:val="24"/>
        </w:rPr>
        <w:t>Ms</w:t>
      </w:r>
      <w:proofErr w:type="spellEnd"/>
      <w:r>
        <w:rPr>
          <w:rFonts w:cs="Arial"/>
          <w:szCs w:val="24"/>
        </w:rPr>
        <w:t xml:space="preserve"> Fairbairn, following disagreements (and several tribunal proceedings) between her children and </w:t>
      </w:r>
      <w:proofErr w:type="spellStart"/>
      <w:r>
        <w:rPr>
          <w:rFonts w:cs="Arial"/>
          <w:szCs w:val="24"/>
        </w:rPr>
        <w:t>Mr</w:t>
      </w:r>
      <w:proofErr w:type="spellEnd"/>
      <w:r>
        <w:rPr>
          <w:rFonts w:cs="Arial"/>
          <w:szCs w:val="24"/>
        </w:rPr>
        <w:t xml:space="preserve"> Radecki as to the management of her property and the funding of her care.  </w:t>
      </w:r>
      <w:proofErr w:type="spellStart"/>
      <w:r>
        <w:rPr>
          <w:rFonts w:cs="Arial"/>
          <w:szCs w:val="24"/>
        </w:rPr>
        <w:t>Mr</w:t>
      </w:r>
      <w:proofErr w:type="spellEnd"/>
      <w:r>
        <w:rPr>
          <w:rFonts w:cs="Arial"/>
          <w:szCs w:val="24"/>
        </w:rPr>
        <w:t xml:space="preserve"> Radecki continued to reside at the farm, which he opposed being sold to fund a refundable accommodation deposit (“RAD”) for </w:t>
      </w:r>
      <w:proofErr w:type="spellStart"/>
      <w:r>
        <w:rPr>
          <w:rFonts w:cs="Arial"/>
          <w:szCs w:val="24"/>
        </w:rPr>
        <w:t>Ms</w:t>
      </w:r>
      <w:proofErr w:type="spellEnd"/>
      <w:r>
        <w:rPr>
          <w:rFonts w:cs="Arial"/>
          <w:szCs w:val="24"/>
        </w:rPr>
        <w:t xml:space="preserve"> Fairbairn’s aged care.  By June 2019 however </w:t>
      </w:r>
      <w:proofErr w:type="spellStart"/>
      <w:r>
        <w:rPr>
          <w:rFonts w:cs="Arial"/>
          <w:szCs w:val="24"/>
        </w:rPr>
        <w:t>Mr</w:t>
      </w:r>
      <w:proofErr w:type="spellEnd"/>
      <w:r>
        <w:rPr>
          <w:rFonts w:cs="Arial"/>
          <w:szCs w:val="24"/>
        </w:rPr>
        <w:t xml:space="preserve"> Radecki had started contributing to </w:t>
      </w:r>
      <w:proofErr w:type="spellStart"/>
      <w:r>
        <w:rPr>
          <w:rFonts w:cs="Arial"/>
          <w:szCs w:val="24"/>
        </w:rPr>
        <w:t>Ms</w:t>
      </w:r>
      <w:proofErr w:type="spellEnd"/>
      <w:r>
        <w:rPr>
          <w:rFonts w:cs="Arial"/>
          <w:szCs w:val="24"/>
        </w:rPr>
        <w:t xml:space="preserve"> Fairbairn’s aged care costs.</w:t>
      </w:r>
    </w:p>
    <w:p w14:paraId="60F877D3" w14:textId="77777777" w:rsidR="00A362D2" w:rsidRDefault="00A362D2" w:rsidP="00AA49B6">
      <w:pPr>
        <w:jc w:val="both"/>
        <w:rPr>
          <w:rFonts w:cs="Arial"/>
          <w:szCs w:val="24"/>
        </w:rPr>
      </w:pPr>
    </w:p>
    <w:p w14:paraId="3719C8B2" w14:textId="77777777" w:rsidR="00A362D2" w:rsidRDefault="00A362D2" w:rsidP="00AA49B6">
      <w:pPr>
        <w:jc w:val="both"/>
        <w:rPr>
          <w:rFonts w:cs="Arial"/>
          <w:szCs w:val="24"/>
        </w:rPr>
      </w:pPr>
      <w:r>
        <w:rPr>
          <w:rFonts w:cs="Arial"/>
          <w:szCs w:val="24"/>
        </w:rPr>
        <w:t xml:space="preserve">The Trustee commenced proceedings against </w:t>
      </w:r>
      <w:proofErr w:type="spellStart"/>
      <w:r>
        <w:rPr>
          <w:rFonts w:cs="Arial"/>
          <w:szCs w:val="24"/>
        </w:rPr>
        <w:t>Mr</w:t>
      </w:r>
      <w:proofErr w:type="spellEnd"/>
      <w:r>
        <w:rPr>
          <w:rFonts w:cs="Arial"/>
          <w:szCs w:val="24"/>
        </w:rPr>
        <w:t xml:space="preserve"> Radecki on </w:t>
      </w:r>
      <w:proofErr w:type="spellStart"/>
      <w:r>
        <w:rPr>
          <w:rFonts w:cs="Arial"/>
          <w:szCs w:val="24"/>
        </w:rPr>
        <w:t>Ms</w:t>
      </w:r>
      <w:proofErr w:type="spellEnd"/>
      <w:r>
        <w:rPr>
          <w:rFonts w:cs="Arial"/>
          <w:szCs w:val="24"/>
        </w:rPr>
        <w:t xml:space="preserve"> Fairbairn’s behalf in the Federal Circuit Court, seeking a property settlement under s 90M of the </w:t>
      </w:r>
      <w:r w:rsidRPr="00FD184B">
        <w:rPr>
          <w:rFonts w:cs="Arial"/>
          <w:i/>
          <w:szCs w:val="24"/>
        </w:rPr>
        <w:t>Family Law Act 1975</w:t>
      </w:r>
      <w:r>
        <w:rPr>
          <w:rFonts w:cs="Arial"/>
          <w:szCs w:val="24"/>
        </w:rPr>
        <w:t xml:space="preserve"> (</w:t>
      </w:r>
      <w:proofErr w:type="spellStart"/>
      <w:r>
        <w:rPr>
          <w:rFonts w:cs="Arial"/>
          <w:szCs w:val="24"/>
        </w:rPr>
        <w:t>Cth</w:t>
      </w:r>
      <w:proofErr w:type="spellEnd"/>
      <w:r>
        <w:rPr>
          <w:rFonts w:cs="Arial"/>
          <w:szCs w:val="24"/>
        </w:rPr>
        <w:t xml:space="preserve">) (“the Act”) so as to sell the farm and from the sale proceeds pay a RAD (which would greatly reduce the amount of ongoing regular payments required by </w:t>
      </w:r>
      <w:proofErr w:type="spellStart"/>
      <w:r>
        <w:rPr>
          <w:rFonts w:cs="Arial"/>
          <w:szCs w:val="24"/>
        </w:rPr>
        <w:t>Ms</w:t>
      </w:r>
      <w:proofErr w:type="spellEnd"/>
      <w:r>
        <w:rPr>
          <w:rFonts w:cs="Arial"/>
          <w:szCs w:val="24"/>
        </w:rPr>
        <w:t xml:space="preserve"> Fairbairn’s aged care provider).  Judge Betts firstly determined a key preliminary issue, declaring under s 90RD of the Act that the parties’ de facto relationship had broken down by no later than 25 May 2018.  His </w:t>
      </w:r>
      <w:proofErr w:type="spellStart"/>
      <w:r>
        <w:rPr>
          <w:rFonts w:cs="Arial"/>
          <w:szCs w:val="24"/>
        </w:rPr>
        <w:t>Honour</w:t>
      </w:r>
      <w:proofErr w:type="spellEnd"/>
      <w:r>
        <w:rPr>
          <w:rFonts w:cs="Arial"/>
          <w:szCs w:val="24"/>
        </w:rPr>
        <w:t xml:space="preserve"> did so after finding that </w:t>
      </w:r>
      <w:proofErr w:type="spellStart"/>
      <w:r>
        <w:rPr>
          <w:rFonts w:cs="Arial"/>
          <w:szCs w:val="24"/>
        </w:rPr>
        <w:t>Mr</w:t>
      </w:r>
      <w:proofErr w:type="spellEnd"/>
      <w:r>
        <w:rPr>
          <w:rFonts w:cs="Arial"/>
          <w:szCs w:val="24"/>
        </w:rPr>
        <w:t xml:space="preserve"> Radecki’s actions in 2017 and 2018 were consistent only with the relationship having ceased.  Those actions included having </w:t>
      </w:r>
      <w:proofErr w:type="spellStart"/>
      <w:r>
        <w:rPr>
          <w:rFonts w:cs="Arial"/>
          <w:szCs w:val="24"/>
        </w:rPr>
        <w:t>Ms</w:t>
      </w:r>
      <w:proofErr w:type="spellEnd"/>
      <w:r>
        <w:rPr>
          <w:rFonts w:cs="Arial"/>
          <w:szCs w:val="24"/>
        </w:rPr>
        <w:t xml:space="preserve"> Fairbairn revoke and execute enduring powers of attorney while she </w:t>
      </w:r>
      <w:proofErr w:type="spellStart"/>
      <w:r>
        <w:rPr>
          <w:rFonts w:cs="Arial"/>
          <w:szCs w:val="24"/>
        </w:rPr>
        <w:t>laboured</w:t>
      </w:r>
      <w:proofErr w:type="spellEnd"/>
      <w:r>
        <w:rPr>
          <w:rFonts w:cs="Arial"/>
          <w:szCs w:val="24"/>
        </w:rPr>
        <w:t xml:space="preserve"> under an incapacity, instructing solicitors to prepare an updated will for </w:t>
      </w:r>
      <w:proofErr w:type="spellStart"/>
      <w:r>
        <w:rPr>
          <w:rFonts w:cs="Arial"/>
          <w:szCs w:val="24"/>
        </w:rPr>
        <w:t>Ms</w:t>
      </w:r>
      <w:proofErr w:type="spellEnd"/>
      <w:r>
        <w:rPr>
          <w:rFonts w:cs="Arial"/>
          <w:szCs w:val="24"/>
        </w:rPr>
        <w:t xml:space="preserve"> Fairbairn, causing a depletion of </w:t>
      </w:r>
      <w:proofErr w:type="spellStart"/>
      <w:r>
        <w:rPr>
          <w:rFonts w:cs="Arial"/>
          <w:szCs w:val="24"/>
        </w:rPr>
        <w:t>Ms</w:t>
      </w:r>
      <w:proofErr w:type="spellEnd"/>
      <w:r>
        <w:rPr>
          <w:rFonts w:cs="Arial"/>
          <w:szCs w:val="24"/>
        </w:rPr>
        <w:t xml:space="preserve"> Fairbairn’s estate by opposing the farm’s sale by the Trustee, and seeking that the Trustee use </w:t>
      </w:r>
      <w:proofErr w:type="spellStart"/>
      <w:r>
        <w:rPr>
          <w:rFonts w:cs="Arial"/>
          <w:szCs w:val="24"/>
        </w:rPr>
        <w:t>Ms</w:t>
      </w:r>
      <w:proofErr w:type="spellEnd"/>
      <w:r>
        <w:rPr>
          <w:rFonts w:cs="Arial"/>
          <w:szCs w:val="24"/>
        </w:rPr>
        <w:t xml:space="preserve"> Fairbairn’s superannuation to pay her aged care costs before he would contribute to such costs.</w:t>
      </w:r>
    </w:p>
    <w:p w14:paraId="5C941926" w14:textId="46159FFE" w:rsidR="00A362D2" w:rsidRDefault="00A362D2" w:rsidP="00AA49B6">
      <w:pPr>
        <w:tabs>
          <w:tab w:val="left" w:pos="5362"/>
        </w:tabs>
        <w:jc w:val="both"/>
        <w:rPr>
          <w:b/>
          <w:bCs/>
          <w:sz w:val="28"/>
          <w:szCs w:val="28"/>
          <w:u w:val="single"/>
        </w:rPr>
      </w:pPr>
    </w:p>
    <w:p w14:paraId="27981B01" w14:textId="77777777" w:rsidR="00A362D2" w:rsidRDefault="00A362D2" w:rsidP="00AA49B6">
      <w:pPr>
        <w:jc w:val="both"/>
        <w:rPr>
          <w:rFonts w:cs="Arial"/>
          <w:szCs w:val="24"/>
        </w:rPr>
      </w:pPr>
      <w:r>
        <w:rPr>
          <w:rFonts w:cs="Arial"/>
          <w:szCs w:val="24"/>
        </w:rPr>
        <w:t xml:space="preserve">An appeal by </w:t>
      </w:r>
      <w:proofErr w:type="spellStart"/>
      <w:r>
        <w:rPr>
          <w:rFonts w:cs="Arial"/>
          <w:szCs w:val="24"/>
        </w:rPr>
        <w:t>Mr</w:t>
      </w:r>
      <w:proofErr w:type="spellEnd"/>
      <w:r>
        <w:rPr>
          <w:rFonts w:cs="Arial"/>
          <w:szCs w:val="24"/>
        </w:rPr>
        <w:t xml:space="preserve"> Radecki was unanimously allowed by the Full Court of the Family Court (Ainslie-Wallace, Ryan and Aldridge JJ).  Their </w:t>
      </w:r>
      <w:proofErr w:type="spellStart"/>
      <w:r>
        <w:rPr>
          <w:rFonts w:cs="Arial"/>
          <w:szCs w:val="24"/>
        </w:rPr>
        <w:t>Honours</w:t>
      </w:r>
      <w:proofErr w:type="spellEnd"/>
      <w:r>
        <w:rPr>
          <w:rFonts w:cs="Arial"/>
          <w:szCs w:val="24"/>
        </w:rPr>
        <w:t xml:space="preserve"> held that Judge Betts had erred by taking an approach not supported by legal authority, namely, by imputing to </w:t>
      </w:r>
      <w:proofErr w:type="spellStart"/>
      <w:r>
        <w:rPr>
          <w:rFonts w:cs="Arial"/>
          <w:szCs w:val="24"/>
        </w:rPr>
        <w:t>Mr</w:t>
      </w:r>
      <w:proofErr w:type="spellEnd"/>
      <w:r>
        <w:rPr>
          <w:rFonts w:cs="Arial"/>
          <w:szCs w:val="24"/>
        </w:rPr>
        <w:t xml:space="preserve"> Radecki an objective intention to separate from </w:t>
      </w:r>
      <w:proofErr w:type="spellStart"/>
      <w:r>
        <w:rPr>
          <w:rFonts w:cs="Arial"/>
          <w:szCs w:val="24"/>
        </w:rPr>
        <w:t>Ms</w:t>
      </w:r>
      <w:proofErr w:type="spellEnd"/>
      <w:r>
        <w:rPr>
          <w:rFonts w:cs="Arial"/>
          <w:szCs w:val="24"/>
        </w:rPr>
        <w:t xml:space="preserve"> Fairbairn.  The Full Court found that the evidence could not support findings that the de facto relationship had broken down or that </w:t>
      </w:r>
      <w:proofErr w:type="spellStart"/>
      <w:r>
        <w:rPr>
          <w:rFonts w:cs="Arial"/>
          <w:szCs w:val="24"/>
        </w:rPr>
        <w:t>Mr</w:t>
      </w:r>
      <w:proofErr w:type="spellEnd"/>
      <w:r>
        <w:rPr>
          <w:rFonts w:cs="Arial"/>
          <w:szCs w:val="24"/>
        </w:rPr>
        <w:t xml:space="preserve"> Radecki had formed and acted on an intention to separate from </w:t>
      </w:r>
      <w:proofErr w:type="spellStart"/>
      <w:r>
        <w:rPr>
          <w:rFonts w:cs="Arial"/>
          <w:szCs w:val="24"/>
        </w:rPr>
        <w:t>Ms</w:t>
      </w:r>
      <w:proofErr w:type="spellEnd"/>
      <w:r>
        <w:rPr>
          <w:rFonts w:cs="Arial"/>
          <w:szCs w:val="24"/>
        </w:rPr>
        <w:t xml:space="preserve"> Fairbairn.  Their </w:t>
      </w:r>
      <w:proofErr w:type="spellStart"/>
      <w:r>
        <w:rPr>
          <w:rFonts w:cs="Arial"/>
          <w:szCs w:val="24"/>
        </w:rPr>
        <w:t>Honours</w:t>
      </w:r>
      <w:proofErr w:type="spellEnd"/>
      <w:r>
        <w:rPr>
          <w:rFonts w:cs="Arial"/>
          <w:szCs w:val="24"/>
        </w:rPr>
        <w:t xml:space="preserve"> considered that poor </w:t>
      </w:r>
      <w:proofErr w:type="spellStart"/>
      <w:r>
        <w:rPr>
          <w:rFonts w:cs="Arial"/>
          <w:szCs w:val="24"/>
        </w:rPr>
        <w:t>behaviour</w:t>
      </w:r>
      <w:proofErr w:type="spellEnd"/>
      <w:r>
        <w:rPr>
          <w:rFonts w:cs="Arial"/>
          <w:szCs w:val="24"/>
        </w:rPr>
        <w:t xml:space="preserve"> of the kind exhibited by </w:t>
      </w:r>
      <w:proofErr w:type="spellStart"/>
      <w:r>
        <w:rPr>
          <w:rFonts w:cs="Arial"/>
          <w:szCs w:val="24"/>
        </w:rPr>
        <w:t>Mr</w:t>
      </w:r>
      <w:proofErr w:type="spellEnd"/>
      <w:r>
        <w:rPr>
          <w:rFonts w:cs="Arial"/>
          <w:szCs w:val="24"/>
        </w:rPr>
        <w:t xml:space="preserve"> Radecki was all too often a hallmark of a relationship, and that </w:t>
      </w:r>
      <w:proofErr w:type="spellStart"/>
      <w:r>
        <w:rPr>
          <w:rFonts w:cs="Arial"/>
          <w:szCs w:val="24"/>
        </w:rPr>
        <w:t>Mr</w:t>
      </w:r>
      <w:proofErr w:type="spellEnd"/>
      <w:r>
        <w:rPr>
          <w:rFonts w:cs="Arial"/>
          <w:szCs w:val="24"/>
        </w:rPr>
        <w:t xml:space="preserve"> Radecki’s views in respect of selling the farm and the potential use of superannuation as a source of funds were not incompatible with a continuing de facto relationship.  The Full Court held that Judge Betts had erred by viewing the parties’ separation of their assets as determinative and by failing to </w:t>
      </w:r>
      <w:proofErr w:type="gramStart"/>
      <w:r>
        <w:rPr>
          <w:rFonts w:cs="Arial"/>
          <w:szCs w:val="24"/>
        </w:rPr>
        <w:t xml:space="preserve">take </w:t>
      </w:r>
      <w:r>
        <w:rPr>
          <w:rFonts w:cs="Arial"/>
          <w:szCs w:val="24"/>
        </w:rPr>
        <w:lastRenderedPageBreak/>
        <w:t>into account</w:t>
      </w:r>
      <w:proofErr w:type="gramEnd"/>
      <w:r>
        <w:rPr>
          <w:rFonts w:cs="Arial"/>
          <w:szCs w:val="24"/>
        </w:rPr>
        <w:t xml:space="preserve"> the facts that </w:t>
      </w:r>
      <w:proofErr w:type="spellStart"/>
      <w:r>
        <w:rPr>
          <w:rFonts w:cs="Arial"/>
          <w:szCs w:val="24"/>
        </w:rPr>
        <w:t>Mr</w:t>
      </w:r>
      <w:proofErr w:type="spellEnd"/>
      <w:r>
        <w:rPr>
          <w:rFonts w:cs="Arial"/>
          <w:szCs w:val="24"/>
        </w:rPr>
        <w:t xml:space="preserve"> Radecki had frequently visited </w:t>
      </w:r>
      <w:proofErr w:type="spellStart"/>
      <w:r>
        <w:rPr>
          <w:rFonts w:cs="Arial"/>
          <w:szCs w:val="24"/>
        </w:rPr>
        <w:t>Ms</w:t>
      </w:r>
      <w:proofErr w:type="spellEnd"/>
      <w:r>
        <w:rPr>
          <w:rFonts w:cs="Arial"/>
          <w:szCs w:val="24"/>
        </w:rPr>
        <w:t xml:space="preserve"> Fairbairn and had paid care costs from his own resources.</w:t>
      </w:r>
    </w:p>
    <w:p w14:paraId="46A79F53" w14:textId="654D8856" w:rsidR="00A362D2" w:rsidRDefault="00A362D2" w:rsidP="00AA49B6">
      <w:pPr>
        <w:tabs>
          <w:tab w:val="left" w:pos="5362"/>
        </w:tabs>
        <w:jc w:val="both"/>
        <w:rPr>
          <w:b/>
          <w:bCs/>
          <w:sz w:val="28"/>
          <w:szCs w:val="28"/>
          <w:u w:val="single"/>
        </w:rPr>
      </w:pPr>
    </w:p>
    <w:p w14:paraId="0911B2A0" w14:textId="77777777" w:rsidR="00A362D2" w:rsidRDefault="00A362D2" w:rsidP="00AA49B6">
      <w:pPr>
        <w:jc w:val="both"/>
        <w:rPr>
          <w:rFonts w:cs="Arial"/>
          <w:szCs w:val="24"/>
        </w:rPr>
      </w:pPr>
      <w:r>
        <w:rPr>
          <w:rFonts w:cs="Arial"/>
          <w:szCs w:val="24"/>
        </w:rPr>
        <w:t>The sole ground of appeal is:</w:t>
      </w:r>
    </w:p>
    <w:p w14:paraId="6A7442FA" w14:textId="466F34A1" w:rsidR="00A362D2" w:rsidRDefault="00A362D2" w:rsidP="00AA49B6">
      <w:pPr>
        <w:tabs>
          <w:tab w:val="left" w:pos="5362"/>
        </w:tabs>
        <w:jc w:val="both"/>
        <w:rPr>
          <w:b/>
          <w:bCs/>
          <w:sz w:val="28"/>
          <w:szCs w:val="28"/>
          <w:u w:val="single"/>
        </w:rPr>
      </w:pPr>
    </w:p>
    <w:p w14:paraId="2A436C90" w14:textId="0918A56D" w:rsidR="00A362D2" w:rsidRDefault="00A362D2" w:rsidP="00AA49B6">
      <w:pPr>
        <w:pStyle w:val="ListParagraph"/>
        <w:numPr>
          <w:ilvl w:val="0"/>
          <w:numId w:val="19"/>
        </w:numPr>
        <w:ind w:left="426" w:hanging="426"/>
        <w:jc w:val="both"/>
        <w:rPr>
          <w:rFonts w:cs="Arial"/>
          <w:sz w:val="24"/>
          <w:szCs w:val="24"/>
        </w:rPr>
      </w:pPr>
      <w:r>
        <w:rPr>
          <w:rFonts w:cs="Arial"/>
          <w:sz w:val="24"/>
          <w:szCs w:val="24"/>
        </w:rPr>
        <w:t>The Full Court of the Family Court erred in law in finding that there was no basis for concluding that as between the Appellant and the Respondent the de facto relationship had ended and/or broken down.</w:t>
      </w:r>
    </w:p>
    <w:p w14:paraId="118F0085" w14:textId="76D35141" w:rsidR="00A362D2" w:rsidRDefault="00A362D2" w:rsidP="00AA49B6">
      <w:pPr>
        <w:jc w:val="both"/>
        <w:rPr>
          <w:rFonts w:cs="Arial"/>
          <w:szCs w:val="24"/>
        </w:rPr>
      </w:pPr>
    </w:p>
    <w:p w14:paraId="23E10F3E" w14:textId="4CC7389D" w:rsidR="00A362D2" w:rsidRPr="00A362D2" w:rsidRDefault="00A362D2" w:rsidP="00AA49B6">
      <w:pPr>
        <w:jc w:val="both"/>
        <w:rPr>
          <w:rFonts w:cs="Arial"/>
          <w:szCs w:val="24"/>
        </w:rPr>
      </w:pPr>
      <w:r>
        <w:rPr>
          <w:rFonts w:cs="Arial"/>
          <w:szCs w:val="24"/>
        </w:rPr>
        <w:t xml:space="preserve">The Appellant and the Respondent have each filed a notice of constitutional matter, in response to which no Attorney-General has intervened in the proceeding. </w:t>
      </w:r>
    </w:p>
    <w:p w14:paraId="0AF9B60C" w14:textId="6010B30E" w:rsidR="00A362D2" w:rsidRDefault="00A362D2" w:rsidP="00A362D2">
      <w:pPr>
        <w:tabs>
          <w:tab w:val="left" w:pos="5362"/>
        </w:tabs>
        <w:rPr>
          <w:b/>
          <w:bCs/>
          <w:sz w:val="28"/>
          <w:szCs w:val="28"/>
          <w:u w:val="single"/>
        </w:rPr>
      </w:pPr>
    </w:p>
    <w:p w14:paraId="7BB2132C" w14:textId="79967F2F" w:rsidR="00574B9F" w:rsidRDefault="00574B9F">
      <w:pPr>
        <w:rPr>
          <w:b/>
          <w:bCs/>
          <w:sz w:val="28"/>
          <w:szCs w:val="28"/>
          <w:u w:val="single"/>
        </w:rPr>
      </w:pPr>
      <w:r>
        <w:rPr>
          <w:b/>
          <w:bCs/>
          <w:sz w:val="28"/>
          <w:szCs w:val="28"/>
          <w:u w:val="single"/>
        </w:rPr>
        <w:br w:type="page"/>
      </w:r>
    </w:p>
    <w:p w14:paraId="239A5ABE" w14:textId="77777777" w:rsidR="00574B9F" w:rsidRPr="00864CD7" w:rsidRDefault="00574B9F" w:rsidP="00574B9F">
      <w:pPr>
        <w:rPr>
          <w:b/>
          <w:sz w:val="28"/>
          <w:szCs w:val="28"/>
        </w:rPr>
      </w:pPr>
      <w:r w:rsidRPr="00864CD7">
        <w:rPr>
          <w:b/>
          <w:sz w:val="28"/>
          <w:szCs w:val="28"/>
          <w:u w:val="single"/>
        </w:rPr>
        <w:lastRenderedPageBreak/>
        <w:t>THOMS v COMMONWEALTH OF AUSTRALIA</w:t>
      </w:r>
      <w:r w:rsidRPr="00864CD7">
        <w:rPr>
          <w:b/>
          <w:sz w:val="28"/>
          <w:szCs w:val="28"/>
        </w:rPr>
        <w:t xml:space="preserve"> (B</w:t>
      </w:r>
      <w:r>
        <w:rPr>
          <w:b/>
          <w:sz w:val="28"/>
          <w:szCs w:val="28"/>
        </w:rPr>
        <w:t>56</w:t>
      </w:r>
      <w:r w:rsidRPr="00864CD7">
        <w:rPr>
          <w:b/>
          <w:sz w:val="28"/>
          <w:szCs w:val="28"/>
        </w:rPr>
        <w:t>/20</w:t>
      </w:r>
      <w:r>
        <w:rPr>
          <w:b/>
          <w:sz w:val="28"/>
          <w:szCs w:val="28"/>
        </w:rPr>
        <w:t>21</w:t>
      </w:r>
      <w:r w:rsidRPr="00864CD7">
        <w:rPr>
          <w:b/>
          <w:sz w:val="28"/>
          <w:szCs w:val="28"/>
        </w:rPr>
        <w:t>)</w:t>
      </w:r>
    </w:p>
    <w:p w14:paraId="7397F5A6" w14:textId="77777777" w:rsidR="00574B9F" w:rsidRDefault="00574B9F" w:rsidP="00574B9F">
      <w:pPr>
        <w:rPr>
          <w:szCs w:val="24"/>
        </w:rPr>
      </w:pPr>
    </w:p>
    <w:p w14:paraId="27B7DE36" w14:textId="77777777" w:rsidR="00574B9F" w:rsidRDefault="00574B9F" w:rsidP="00574B9F">
      <w:pPr>
        <w:tabs>
          <w:tab w:val="left" w:pos="3828"/>
        </w:tabs>
        <w:rPr>
          <w:szCs w:val="24"/>
        </w:rPr>
      </w:pPr>
      <w:r w:rsidRPr="00C95F6E">
        <w:rPr>
          <w:szCs w:val="24"/>
          <w:u w:val="single"/>
        </w:rPr>
        <w:t>Court from which cause removed</w:t>
      </w:r>
      <w:r>
        <w:rPr>
          <w:szCs w:val="24"/>
        </w:rPr>
        <w:t>:</w:t>
      </w:r>
      <w:r>
        <w:rPr>
          <w:szCs w:val="24"/>
        </w:rPr>
        <w:tab/>
        <w:t>Federal Court of Australia</w:t>
      </w:r>
    </w:p>
    <w:p w14:paraId="53D48FAA" w14:textId="77777777" w:rsidR="00574B9F" w:rsidRPr="00864CD7" w:rsidRDefault="00574B9F" w:rsidP="00574B9F">
      <w:pPr>
        <w:rPr>
          <w:szCs w:val="24"/>
        </w:rPr>
      </w:pPr>
    </w:p>
    <w:p w14:paraId="1C9842A1" w14:textId="1FA134A9" w:rsidR="00574B9F" w:rsidRDefault="00574B9F" w:rsidP="00574B9F">
      <w:pPr>
        <w:tabs>
          <w:tab w:val="left" w:pos="2552"/>
        </w:tabs>
        <w:rPr>
          <w:szCs w:val="24"/>
        </w:rPr>
      </w:pPr>
      <w:r w:rsidRPr="00864CD7">
        <w:rPr>
          <w:szCs w:val="24"/>
          <w:u w:val="single"/>
        </w:rPr>
        <w:t xml:space="preserve">Date </w:t>
      </w:r>
      <w:r>
        <w:rPr>
          <w:szCs w:val="24"/>
          <w:u w:val="single"/>
        </w:rPr>
        <w:t>cause removed</w:t>
      </w:r>
      <w:r>
        <w:rPr>
          <w:szCs w:val="24"/>
        </w:rPr>
        <w:t>:</w:t>
      </w:r>
      <w:r>
        <w:rPr>
          <w:szCs w:val="24"/>
        </w:rPr>
        <w:tab/>
        <w:t>11 October</w:t>
      </w:r>
      <w:r w:rsidRPr="00864CD7">
        <w:rPr>
          <w:szCs w:val="24"/>
        </w:rPr>
        <w:t xml:space="preserve"> 20</w:t>
      </w:r>
      <w:r>
        <w:rPr>
          <w:szCs w:val="24"/>
        </w:rPr>
        <w:t>21</w:t>
      </w:r>
    </w:p>
    <w:p w14:paraId="066E0972" w14:textId="77777777" w:rsidR="00574B9F" w:rsidRPr="00864CD7" w:rsidRDefault="00574B9F" w:rsidP="00574B9F">
      <w:pPr>
        <w:tabs>
          <w:tab w:val="left" w:pos="2552"/>
        </w:tabs>
        <w:rPr>
          <w:szCs w:val="24"/>
        </w:rPr>
      </w:pPr>
    </w:p>
    <w:p w14:paraId="4E3F7500" w14:textId="77777777" w:rsidR="00574B9F" w:rsidRDefault="00574B9F" w:rsidP="00AA49B6">
      <w:pPr>
        <w:jc w:val="both"/>
        <w:rPr>
          <w:rFonts w:cs="Arial"/>
          <w:iCs/>
          <w:szCs w:val="24"/>
        </w:rPr>
      </w:pPr>
      <w:r w:rsidRPr="00D70EFF">
        <w:rPr>
          <w:rFonts w:cs="Arial"/>
          <w:iCs/>
          <w:szCs w:val="24"/>
        </w:rPr>
        <w:t xml:space="preserve">The Applicant, </w:t>
      </w:r>
      <w:proofErr w:type="spellStart"/>
      <w:r w:rsidRPr="00D70EFF">
        <w:rPr>
          <w:rFonts w:cs="Arial"/>
          <w:iCs/>
          <w:szCs w:val="24"/>
        </w:rPr>
        <w:t>Mr</w:t>
      </w:r>
      <w:proofErr w:type="spellEnd"/>
      <w:r w:rsidRPr="00D70EFF">
        <w:rPr>
          <w:rFonts w:cs="Arial"/>
          <w:iCs/>
          <w:szCs w:val="24"/>
        </w:rPr>
        <w:t xml:space="preserve"> Brendan </w:t>
      </w:r>
      <w:proofErr w:type="spellStart"/>
      <w:r w:rsidRPr="00D70EFF">
        <w:rPr>
          <w:rFonts w:cs="Arial"/>
          <w:iCs/>
          <w:szCs w:val="24"/>
        </w:rPr>
        <w:t>Thoms</w:t>
      </w:r>
      <w:proofErr w:type="spellEnd"/>
      <w:r w:rsidRPr="00D70EFF">
        <w:rPr>
          <w:rFonts w:cs="Arial"/>
          <w:iCs/>
          <w:szCs w:val="24"/>
        </w:rPr>
        <w:t xml:space="preserve">, is a citizen of New Zealand whose visa was cancelled by the Minister for Home Affairs under s 501(3A) of the </w:t>
      </w:r>
      <w:r w:rsidRPr="00D70EFF">
        <w:rPr>
          <w:rFonts w:cs="Arial"/>
          <w:i/>
          <w:iCs/>
          <w:szCs w:val="24"/>
        </w:rPr>
        <w:t>Migration Act 1958</w:t>
      </w:r>
      <w:r w:rsidRPr="00D70EFF">
        <w:rPr>
          <w:rFonts w:cs="Arial"/>
          <w:iCs/>
          <w:szCs w:val="24"/>
        </w:rPr>
        <w:t xml:space="preserve"> (</w:t>
      </w:r>
      <w:proofErr w:type="spellStart"/>
      <w:r w:rsidRPr="00D70EFF">
        <w:rPr>
          <w:rFonts w:cs="Arial"/>
          <w:iCs/>
          <w:szCs w:val="24"/>
        </w:rPr>
        <w:t>Cth</w:t>
      </w:r>
      <w:proofErr w:type="spellEnd"/>
      <w:r w:rsidRPr="00D70EFF">
        <w:rPr>
          <w:rFonts w:cs="Arial"/>
          <w:iCs/>
          <w:szCs w:val="24"/>
        </w:rPr>
        <w:t xml:space="preserve">) (“the Act”) in view of </w:t>
      </w:r>
      <w:proofErr w:type="spellStart"/>
      <w:r w:rsidRPr="00D70EFF">
        <w:rPr>
          <w:rFonts w:cs="Arial"/>
          <w:iCs/>
          <w:szCs w:val="24"/>
        </w:rPr>
        <w:t>Mr</w:t>
      </w:r>
      <w:proofErr w:type="spellEnd"/>
      <w:r w:rsidRPr="00D70EFF">
        <w:rPr>
          <w:rFonts w:cs="Arial"/>
          <w:iCs/>
          <w:szCs w:val="24"/>
        </w:rPr>
        <w:t xml:space="preserve"> </w:t>
      </w:r>
      <w:proofErr w:type="spellStart"/>
      <w:r w:rsidRPr="00D70EFF">
        <w:rPr>
          <w:rFonts w:cs="Arial"/>
          <w:iCs/>
          <w:szCs w:val="24"/>
        </w:rPr>
        <w:t>Thoms</w:t>
      </w:r>
      <w:proofErr w:type="spellEnd"/>
      <w:r w:rsidRPr="00D70EFF">
        <w:rPr>
          <w:rFonts w:cs="Arial"/>
          <w:iCs/>
          <w:szCs w:val="24"/>
        </w:rPr>
        <w:t xml:space="preserve"> having been sentenced to 18 months’ imprisonment for assault occasioning bodily harm. </w:t>
      </w:r>
      <w:r>
        <w:rPr>
          <w:rFonts w:cs="Arial"/>
          <w:iCs/>
          <w:szCs w:val="24"/>
        </w:rPr>
        <w:t xml:space="preserve"> </w:t>
      </w:r>
      <w:r w:rsidRPr="00D70EFF">
        <w:rPr>
          <w:rFonts w:cs="Arial"/>
          <w:iCs/>
          <w:szCs w:val="24"/>
        </w:rPr>
        <w:t xml:space="preserve">On 28 September 2018, upon his release on </w:t>
      </w:r>
      <w:r>
        <w:rPr>
          <w:rFonts w:cs="Arial"/>
          <w:iCs/>
          <w:szCs w:val="24"/>
        </w:rPr>
        <w:t xml:space="preserve">court-ordered </w:t>
      </w:r>
      <w:r w:rsidRPr="00D70EFF">
        <w:rPr>
          <w:rFonts w:cs="Arial"/>
          <w:iCs/>
          <w:szCs w:val="24"/>
        </w:rPr>
        <w:t xml:space="preserve">parole, </w:t>
      </w:r>
      <w:proofErr w:type="spellStart"/>
      <w:r w:rsidRPr="00D70EFF">
        <w:rPr>
          <w:rFonts w:cs="Arial"/>
          <w:iCs/>
          <w:szCs w:val="24"/>
        </w:rPr>
        <w:t>Mr</w:t>
      </w:r>
      <w:proofErr w:type="spellEnd"/>
      <w:r w:rsidRPr="00D70EFF">
        <w:rPr>
          <w:rFonts w:cs="Arial"/>
          <w:iCs/>
          <w:szCs w:val="24"/>
        </w:rPr>
        <w:t xml:space="preserve"> </w:t>
      </w:r>
      <w:proofErr w:type="spellStart"/>
      <w:r w:rsidRPr="00D70EFF">
        <w:rPr>
          <w:rFonts w:cs="Arial"/>
          <w:iCs/>
          <w:szCs w:val="24"/>
        </w:rPr>
        <w:t>Thoms</w:t>
      </w:r>
      <w:proofErr w:type="spellEnd"/>
      <w:r w:rsidRPr="00D70EFF">
        <w:rPr>
          <w:rFonts w:cs="Arial"/>
          <w:iCs/>
          <w:szCs w:val="24"/>
        </w:rPr>
        <w:t xml:space="preserve"> was placed in immigration detention by Border Force officers. </w:t>
      </w:r>
      <w:r>
        <w:rPr>
          <w:rFonts w:cs="Arial"/>
          <w:iCs/>
          <w:szCs w:val="24"/>
        </w:rPr>
        <w:t xml:space="preserve"> </w:t>
      </w:r>
      <w:r w:rsidRPr="00D70EFF">
        <w:rPr>
          <w:rFonts w:cs="Arial"/>
          <w:iCs/>
          <w:szCs w:val="24"/>
        </w:rPr>
        <w:t xml:space="preserve">This was </w:t>
      </w:r>
      <w:r>
        <w:rPr>
          <w:rFonts w:cs="Arial"/>
          <w:iCs/>
          <w:szCs w:val="24"/>
        </w:rPr>
        <w:t xml:space="preserve">purportedly under s 189 of the Act, based on a reasonable suspicion that </w:t>
      </w:r>
      <w:proofErr w:type="spellStart"/>
      <w:r>
        <w:rPr>
          <w:rFonts w:cs="Arial"/>
          <w:iCs/>
          <w:szCs w:val="24"/>
        </w:rPr>
        <w:t>Mr</w:t>
      </w:r>
      <w:proofErr w:type="spellEnd"/>
      <w:r>
        <w:rPr>
          <w:rFonts w:cs="Arial"/>
          <w:iCs/>
          <w:szCs w:val="24"/>
        </w:rPr>
        <w:t xml:space="preserve"> </w:t>
      </w:r>
      <w:proofErr w:type="spellStart"/>
      <w:r>
        <w:rPr>
          <w:rFonts w:cs="Arial"/>
          <w:iCs/>
          <w:szCs w:val="24"/>
        </w:rPr>
        <w:t>Thoms</w:t>
      </w:r>
      <w:proofErr w:type="spellEnd"/>
      <w:r>
        <w:rPr>
          <w:rFonts w:cs="Arial"/>
          <w:iCs/>
          <w:szCs w:val="24"/>
        </w:rPr>
        <w:t xml:space="preserve"> was an unlawful non-citizen.</w:t>
      </w:r>
    </w:p>
    <w:p w14:paraId="73786208" w14:textId="77777777" w:rsidR="00574B9F" w:rsidRDefault="00574B9F" w:rsidP="00AA49B6">
      <w:pPr>
        <w:jc w:val="both"/>
        <w:rPr>
          <w:rFonts w:cs="Arial"/>
          <w:iCs/>
          <w:szCs w:val="24"/>
        </w:rPr>
      </w:pPr>
    </w:p>
    <w:p w14:paraId="6C55C65D" w14:textId="5215806F" w:rsidR="00574B9F" w:rsidRDefault="00574B9F" w:rsidP="00AA49B6">
      <w:pPr>
        <w:jc w:val="both"/>
        <w:rPr>
          <w:rFonts w:cs="Arial"/>
          <w:iCs/>
          <w:szCs w:val="24"/>
        </w:rPr>
      </w:pPr>
      <w:proofErr w:type="spellStart"/>
      <w:r>
        <w:rPr>
          <w:rFonts w:cs="Arial"/>
          <w:iCs/>
          <w:szCs w:val="24"/>
        </w:rPr>
        <w:t>Mr</w:t>
      </w:r>
      <w:proofErr w:type="spellEnd"/>
      <w:r>
        <w:rPr>
          <w:rFonts w:cs="Arial"/>
          <w:iCs/>
          <w:szCs w:val="24"/>
        </w:rPr>
        <w:t xml:space="preserve"> </w:t>
      </w:r>
      <w:proofErr w:type="spellStart"/>
      <w:r>
        <w:rPr>
          <w:rFonts w:cs="Arial"/>
          <w:iCs/>
          <w:szCs w:val="24"/>
        </w:rPr>
        <w:t>Thoms</w:t>
      </w:r>
      <w:proofErr w:type="spellEnd"/>
      <w:r>
        <w:rPr>
          <w:rFonts w:cs="Arial"/>
          <w:iCs/>
          <w:szCs w:val="24"/>
        </w:rPr>
        <w:t xml:space="preserve"> is an Aboriginal Australian (a member of the </w:t>
      </w:r>
      <w:proofErr w:type="spellStart"/>
      <w:r>
        <w:rPr>
          <w:rFonts w:cs="Arial"/>
          <w:iCs/>
          <w:szCs w:val="24"/>
        </w:rPr>
        <w:t>Gunggari</w:t>
      </w:r>
      <w:proofErr w:type="spellEnd"/>
      <w:r>
        <w:rPr>
          <w:rFonts w:cs="Arial"/>
          <w:iCs/>
          <w:szCs w:val="24"/>
        </w:rPr>
        <w:t xml:space="preserve"> people) who has lived in Australia for the great majority of his life.  On 5 December 2018 he commenced proceedings in this Court against the Respondent, seeking (among other things) that he be released from detention and that he be awarded damages for wrongful imprisonment.  Essentially this was on the basis that he had a continuing right to remain in Australia regardless of his citizenship or visa status and that he was not subject to the detention powers under the Act.</w:t>
      </w:r>
    </w:p>
    <w:p w14:paraId="1DED0981" w14:textId="77777777" w:rsidR="00574B9F" w:rsidRDefault="00574B9F" w:rsidP="00AA49B6">
      <w:pPr>
        <w:jc w:val="both"/>
        <w:rPr>
          <w:rFonts w:cs="Arial"/>
          <w:iCs/>
          <w:szCs w:val="24"/>
        </w:rPr>
      </w:pPr>
    </w:p>
    <w:p w14:paraId="1E3A3640" w14:textId="6D5D2C63" w:rsidR="00574B9F" w:rsidRDefault="00574B9F" w:rsidP="00AA49B6">
      <w:pPr>
        <w:jc w:val="both"/>
        <w:rPr>
          <w:rFonts w:cs="Arial"/>
          <w:iCs/>
          <w:szCs w:val="24"/>
        </w:rPr>
      </w:pPr>
      <w:r>
        <w:rPr>
          <w:rFonts w:cs="Arial"/>
          <w:iCs/>
          <w:szCs w:val="24"/>
        </w:rPr>
        <w:t xml:space="preserve">On 11 February 2020 this Court, in answering a question of law referred by way of a special case, determined that </w:t>
      </w:r>
      <w:proofErr w:type="spellStart"/>
      <w:r>
        <w:rPr>
          <w:rFonts w:cs="Arial"/>
          <w:iCs/>
          <w:szCs w:val="24"/>
        </w:rPr>
        <w:t>Mr</w:t>
      </w:r>
      <w:proofErr w:type="spellEnd"/>
      <w:r>
        <w:rPr>
          <w:rFonts w:cs="Arial"/>
          <w:iCs/>
          <w:szCs w:val="24"/>
        </w:rPr>
        <w:t xml:space="preserve"> </w:t>
      </w:r>
      <w:proofErr w:type="spellStart"/>
      <w:r>
        <w:rPr>
          <w:rFonts w:cs="Arial"/>
          <w:iCs/>
          <w:szCs w:val="24"/>
        </w:rPr>
        <w:t>Thoms</w:t>
      </w:r>
      <w:proofErr w:type="spellEnd"/>
      <w:r>
        <w:rPr>
          <w:rFonts w:cs="Arial"/>
          <w:iCs/>
          <w:szCs w:val="24"/>
        </w:rPr>
        <w:t xml:space="preserve">, as an Aboriginal Australian, was not an “alien” within the meaning of s 51(xix) of the </w:t>
      </w:r>
      <w:r w:rsidRPr="00C625F7">
        <w:rPr>
          <w:rFonts w:cs="Arial"/>
          <w:i/>
          <w:iCs/>
          <w:szCs w:val="24"/>
        </w:rPr>
        <w:t>Constitution</w:t>
      </w:r>
      <w:r>
        <w:rPr>
          <w:rFonts w:cs="Arial"/>
          <w:iCs/>
          <w:szCs w:val="24"/>
        </w:rPr>
        <w:t xml:space="preserve"> (</w:t>
      </w:r>
      <w:r w:rsidRPr="00C625F7">
        <w:rPr>
          <w:rFonts w:cs="Arial"/>
          <w:i/>
          <w:iCs/>
          <w:szCs w:val="24"/>
        </w:rPr>
        <w:t xml:space="preserve">Love v Commonwealth of Australia; </w:t>
      </w:r>
      <w:proofErr w:type="spellStart"/>
      <w:r w:rsidRPr="00C625F7">
        <w:rPr>
          <w:rFonts w:cs="Arial"/>
          <w:i/>
          <w:iCs/>
          <w:szCs w:val="24"/>
        </w:rPr>
        <w:t>Thoms</w:t>
      </w:r>
      <w:proofErr w:type="spellEnd"/>
      <w:r w:rsidRPr="00C625F7">
        <w:rPr>
          <w:rFonts w:cs="Arial"/>
          <w:i/>
          <w:iCs/>
          <w:szCs w:val="24"/>
        </w:rPr>
        <w:t xml:space="preserve"> v Commonwealth of Australia</w:t>
      </w:r>
      <w:r>
        <w:rPr>
          <w:rFonts w:cs="Arial"/>
          <w:iCs/>
          <w:szCs w:val="24"/>
        </w:rPr>
        <w:t xml:space="preserve"> [2020] HCA 3).  </w:t>
      </w:r>
      <w:proofErr w:type="spellStart"/>
      <w:r>
        <w:rPr>
          <w:rFonts w:cs="Arial"/>
          <w:iCs/>
          <w:szCs w:val="24"/>
        </w:rPr>
        <w:t>Mr</w:t>
      </w:r>
      <w:proofErr w:type="spellEnd"/>
      <w:r>
        <w:rPr>
          <w:rFonts w:cs="Arial"/>
          <w:iCs/>
          <w:szCs w:val="24"/>
        </w:rPr>
        <w:t xml:space="preserve"> </w:t>
      </w:r>
      <w:proofErr w:type="spellStart"/>
      <w:r>
        <w:rPr>
          <w:rFonts w:cs="Arial"/>
          <w:iCs/>
          <w:szCs w:val="24"/>
        </w:rPr>
        <w:t>Thoms</w:t>
      </w:r>
      <w:proofErr w:type="spellEnd"/>
      <w:r>
        <w:rPr>
          <w:rFonts w:cs="Arial"/>
          <w:iCs/>
          <w:szCs w:val="24"/>
        </w:rPr>
        <w:t xml:space="preserve"> was then immediately released from detention.</w:t>
      </w:r>
    </w:p>
    <w:p w14:paraId="2A7CBC84" w14:textId="0E58D2D2" w:rsidR="00574B9F" w:rsidRDefault="00574B9F" w:rsidP="00AA49B6">
      <w:pPr>
        <w:jc w:val="both"/>
        <w:rPr>
          <w:rFonts w:cs="Arial"/>
          <w:iCs/>
          <w:szCs w:val="24"/>
        </w:rPr>
      </w:pPr>
    </w:p>
    <w:p w14:paraId="0FA637A0" w14:textId="77777777" w:rsidR="00574B9F" w:rsidRDefault="00574B9F" w:rsidP="00AA49B6">
      <w:pPr>
        <w:jc w:val="both"/>
        <w:rPr>
          <w:rFonts w:cs="Arial"/>
          <w:iCs/>
          <w:szCs w:val="24"/>
        </w:rPr>
      </w:pPr>
      <w:r>
        <w:rPr>
          <w:rFonts w:cs="Arial"/>
          <w:iCs/>
          <w:szCs w:val="24"/>
        </w:rPr>
        <w:t xml:space="preserve">The proceeding was subsequently remitted by consent to the Federal Court.  In the course of the pursuit by </w:t>
      </w:r>
      <w:proofErr w:type="spellStart"/>
      <w:r>
        <w:rPr>
          <w:rFonts w:cs="Arial"/>
          <w:iCs/>
          <w:szCs w:val="24"/>
        </w:rPr>
        <w:t>Mr</w:t>
      </w:r>
      <w:proofErr w:type="spellEnd"/>
      <w:r>
        <w:rPr>
          <w:rFonts w:cs="Arial"/>
          <w:iCs/>
          <w:szCs w:val="24"/>
        </w:rPr>
        <w:t xml:space="preserve"> </w:t>
      </w:r>
      <w:proofErr w:type="spellStart"/>
      <w:r>
        <w:rPr>
          <w:rFonts w:cs="Arial"/>
          <w:iCs/>
          <w:szCs w:val="24"/>
        </w:rPr>
        <w:t>Thoms</w:t>
      </w:r>
      <w:proofErr w:type="spellEnd"/>
      <w:r>
        <w:rPr>
          <w:rFonts w:cs="Arial"/>
          <w:iCs/>
          <w:szCs w:val="24"/>
        </w:rPr>
        <w:t xml:space="preserve"> of his claim for damages, which was based on his having been wrongfully imprisoned for 502 days, a separate question was formulated for determination.  </w:t>
      </w:r>
      <w:r w:rsidRPr="00B5378C">
        <w:rPr>
          <w:rFonts w:cs="Arial"/>
          <w:iCs/>
          <w:szCs w:val="24"/>
        </w:rPr>
        <w:t xml:space="preserve">Upon </w:t>
      </w:r>
      <w:r>
        <w:rPr>
          <w:rFonts w:cs="Arial"/>
          <w:iCs/>
          <w:szCs w:val="24"/>
        </w:rPr>
        <w:t xml:space="preserve">an application by the Attorney-General of the Commonwealth, Justice Keane ordered the removal into this Court of that part of the cause pending in the Federal Court.  The part removed is the question “Was the detention of Brendan Craig </w:t>
      </w:r>
      <w:proofErr w:type="spellStart"/>
      <w:r>
        <w:rPr>
          <w:rFonts w:cs="Arial"/>
          <w:iCs/>
          <w:szCs w:val="24"/>
        </w:rPr>
        <w:t>Thoms</w:t>
      </w:r>
      <w:proofErr w:type="spellEnd"/>
      <w:r>
        <w:rPr>
          <w:rFonts w:cs="Arial"/>
          <w:iCs/>
          <w:szCs w:val="24"/>
        </w:rPr>
        <w:t xml:space="preserve"> between 28 September 2018 and 11 February 2020 unlawful?”</w:t>
      </w:r>
    </w:p>
    <w:p w14:paraId="33ECE02F" w14:textId="6F08B337" w:rsidR="00574B9F" w:rsidRDefault="00574B9F" w:rsidP="00AA49B6">
      <w:pPr>
        <w:tabs>
          <w:tab w:val="left" w:pos="5362"/>
        </w:tabs>
        <w:jc w:val="both"/>
        <w:rPr>
          <w:rFonts w:cs="Arial"/>
          <w:iCs/>
          <w:szCs w:val="24"/>
        </w:rPr>
      </w:pPr>
    </w:p>
    <w:p w14:paraId="3BD0402A" w14:textId="4C036EA6" w:rsidR="00574B9F" w:rsidRDefault="00574B9F" w:rsidP="00AA49B6">
      <w:pPr>
        <w:tabs>
          <w:tab w:val="left" w:pos="5362"/>
        </w:tabs>
        <w:jc w:val="both"/>
        <w:rPr>
          <w:rFonts w:cs="Arial"/>
          <w:iCs/>
          <w:szCs w:val="24"/>
        </w:rPr>
      </w:pPr>
      <w:r>
        <w:rPr>
          <w:rFonts w:cs="Arial"/>
          <w:iCs/>
          <w:szCs w:val="24"/>
        </w:rPr>
        <w:t xml:space="preserve">The Applicant has filed a notice of a constitutional matter in relation to the removed cause, in response to which no Attorney-General has intervened. </w:t>
      </w:r>
    </w:p>
    <w:p w14:paraId="3AB8ACEC" w14:textId="59CEB2AC" w:rsidR="00574B9F" w:rsidRDefault="00574B9F">
      <w:pPr>
        <w:rPr>
          <w:rFonts w:cs="Arial"/>
          <w:iCs/>
          <w:szCs w:val="24"/>
        </w:rPr>
      </w:pPr>
      <w:r>
        <w:rPr>
          <w:rFonts w:cs="Arial"/>
          <w:iCs/>
          <w:szCs w:val="24"/>
        </w:rPr>
        <w:br w:type="page"/>
      </w:r>
    </w:p>
    <w:p w14:paraId="05D2EE88" w14:textId="77777777" w:rsidR="00EE38B1" w:rsidRPr="00E725B1" w:rsidRDefault="00EE38B1" w:rsidP="00EE38B1">
      <w:pPr>
        <w:pStyle w:val="NoSpacing"/>
        <w:rPr>
          <w:rFonts w:ascii="Arial" w:eastAsia="Times New Roman" w:hAnsi="Arial" w:cs="Arial"/>
          <w:b/>
          <w:color w:val="000000"/>
          <w:sz w:val="28"/>
          <w:szCs w:val="28"/>
          <w:u w:val="single"/>
          <w:lang w:eastAsia="en-AU"/>
        </w:rPr>
      </w:pPr>
      <w:r w:rsidRPr="00E725B1">
        <w:rPr>
          <w:rFonts w:ascii="Arial" w:eastAsia="Times New Roman" w:hAnsi="Arial" w:cs="Arial"/>
          <w:b/>
          <w:color w:val="000000"/>
          <w:sz w:val="28"/>
          <w:szCs w:val="28"/>
          <w:u w:val="single"/>
          <w:lang w:eastAsia="en-AU"/>
        </w:rPr>
        <w:lastRenderedPageBreak/>
        <w:t>NATHANSON v MINISTER FOR HOME AFFAIRS &amp; ANOR</w:t>
      </w:r>
      <w:r w:rsidRPr="00E725B1">
        <w:rPr>
          <w:rFonts w:ascii="Arial" w:eastAsia="Times New Roman" w:hAnsi="Arial" w:cs="Arial"/>
          <w:b/>
          <w:color w:val="000000"/>
          <w:sz w:val="28"/>
          <w:szCs w:val="28"/>
          <w:lang w:eastAsia="en-AU"/>
        </w:rPr>
        <w:t xml:space="preserve"> (M73/2021)</w:t>
      </w:r>
    </w:p>
    <w:p w14:paraId="69A961A0" w14:textId="269635E3" w:rsidR="00574B9F" w:rsidRDefault="00574B9F" w:rsidP="00A362D2">
      <w:pPr>
        <w:tabs>
          <w:tab w:val="left" w:pos="5362"/>
        </w:tabs>
        <w:rPr>
          <w:b/>
          <w:bCs/>
          <w:sz w:val="28"/>
          <w:szCs w:val="28"/>
          <w:u w:val="single"/>
        </w:rPr>
      </w:pPr>
    </w:p>
    <w:p w14:paraId="2A0D1D10" w14:textId="77777777" w:rsidR="00EE38B1" w:rsidRDefault="00EE38B1" w:rsidP="00EE38B1">
      <w:pPr>
        <w:ind w:left="2880" w:hanging="2880"/>
        <w:rPr>
          <w:rFonts w:cs="Arial"/>
          <w:szCs w:val="24"/>
        </w:rPr>
      </w:pPr>
      <w:r w:rsidRPr="008A0364">
        <w:rPr>
          <w:rFonts w:cs="Arial"/>
          <w:szCs w:val="24"/>
          <w:u w:val="single"/>
        </w:rPr>
        <w:t>Court appealed from</w:t>
      </w:r>
      <w:r>
        <w:rPr>
          <w:rFonts w:cs="Arial"/>
          <w:szCs w:val="24"/>
        </w:rPr>
        <w:t>:</w:t>
      </w:r>
      <w:r w:rsidRPr="008A0364">
        <w:rPr>
          <w:rFonts w:cs="Arial"/>
          <w:szCs w:val="24"/>
        </w:rPr>
        <w:tab/>
      </w:r>
      <w:r>
        <w:rPr>
          <w:rFonts w:cs="Arial"/>
          <w:szCs w:val="24"/>
        </w:rPr>
        <w:t xml:space="preserve">Full Court of the Federal Court of Australia </w:t>
      </w:r>
      <w:r>
        <w:rPr>
          <w:rFonts w:cs="Arial"/>
          <w:szCs w:val="24"/>
        </w:rPr>
        <w:br/>
      </w:r>
      <w:r w:rsidRPr="00F91228">
        <w:rPr>
          <w:rFonts w:cs="Arial"/>
          <w:szCs w:val="24"/>
        </w:rPr>
        <w:t xml:space="preserve">[2020] </w:t>
      </w:r>
      <w:r>
        <w:rPr>
          <w:rFonts w:cs="Arial"/>
          <w:szCs w:val="24"/>
        </w:rPr>
        <w:t>FCAFC 172</w:t>
      </w:r>
    </w:p>
    <w:p w14:paraId="6B9E115D" w14:textId="152E2D1C" w:rsidR="00EE38B1" w:rsidRDefault="00EE38B1" w:rsidP="00A362D2">
      <w:pPr>
        <w:tabs>
          <w:tab w:val="left" w:pos="5362"/>
        </w:tabs>
        <w:rPr>
          <w:b/>
          <w:bCs/>
          <w:sz w:val="28"/>
          <w:szCs w:val="28"/>
          <w:u w:val="single"/>
        </w:rPr>
      </w:pPr>
    </w:p>
    <w:p w14:paraId="40115D56" w14:textId="494F1C8C" w:rsidR="00EE38B1" w:rsidRDefault="00EE38B1" w:rsidP="00EE38B1">
      <w:pPr>
        <w:ind w:left="2552" w:hanging="2552"/>
        <w:rPr>
          <w:rFonts w:cs="Arial"/>
          <w:szCs w:val="24"/>
        </w:rPr>
      </w:pPr>
      <w:r w:rsidRPr="008A0364">
        <w:rPr>
          <w:rFonts w:cs="Arial"/>
          <w:szCs w:val="24"/>
          <w:u w:val="single"/>
        </w:rPr>
        <w:t>Date of judgment</w:t>
      </w:r>
      <w:r>
        <w:rPr>
          <w:rFonts w:cs="Arial"/>
          <w:szCs w:val="24"/>
        </w:rPr>
        <w:t>:</w:t>
      </w:r>
      <w:r>
        <w:rPr>
          <w:rFonts w:cs="Arial"/>
          <w:szCs w:val="24"/>
        </w:rPr>
        <w:tab/>
        <w:t xml:space="preserve">     9 October 2020</w:t>
      </w:r>
    </w:p>
    <w:p w14:paraId="753680AF" w14:textId="77777777" w:rsidR="00EE38B1" w:rsidRDefault="00EE38B1" w:rsidP="00EE38B1">
      <w:pPr>
        <w:ind w:left="2552" w:hanging="2552"/>
        <w:rPr>
          <w:rFonts w:cs="Arial"/>
          <w:szCs w:val="24"/>
        </w:rPr>
      </w:pPr>
    </w:p>
    <w:p w14:paraId="46F3AE9D" w14:textId="659200F7" w:rsidR="00EE38B1" w:rsidRDefault="00EE38B1" w:rsidP="001A5449">
      <w:pPr>
        <w:tabs>
          <w:tab w:val="left" w:pos="2835"/>
        </w:tabs>
        <w:jc w:val="both"/>
        <w:rPr>
          <w:rFonts w:cs="Arial"/>
          <w:szCs w:val="24"/>
        </w:rPr>
      </w:pPr>
      <w:r>
        <w:rPr>
          <w:rFonts w:cs="Arial"/>
          <w:szCs w:val="24"/>
          <w:u w:val="single"/>
        </w:rPr>
        <w:t>Special leave granted</w:t>
      </w:r>
      <w:r>
        <w:rPr>
          <w:rFonts w:cs="Arial"/>
          <w:szCs w:val="24"/>
        </w:rPr>
        <w:t>:</w:t>
      </w:r>
      <w:r w:rsidR="001A5449">
        <w:rPr>
          <w:rFonts w:cs="Arial"/>
          <w:szCs w:val="24"/>
        </w:rPr>
        <w:tab/>
      </w:r>
      <w:r>
        <w:rPr>
          <w:rFonts w:cs="Arial"/>
          <w:szCs w:val="24"/>
        </w:rPr>
        <w:t>15 October 2021</w:t>
      </w:r>
    </w:p>
    <w:p w14:paraId="26298EF3" w14:textId="235DD70C" w:rsidR="00EE38B1" w:rsidRDefault="00EE38B1" w:rsidP="00EE38B1">
      <w:pPr>
        <w:tabs>
          <w:tab w:val="left" w:pos="2977"/>
        </w:tabs>
        <w:jc w:val="both"/>
        <w:rPr>
          <w:rFonts w:cs="Arial"/>
          <w:szCs w:val="24"/>
        </w:rPr>
      </w:pPr>
    </w:p>
    <w:p w14:paraId="0DA7FEEA" w14:textId="77777777" w:rsidR="00EE38B1" w:rsidRDefault="00EE38B1" w:rsidP="00EE38B1">
      <w:pPr>
        <w:jc w:val="both"/>
        <w:rPr>
          <w:rFonts w:cs="Arial"/>
          <w:szCs w:val="24"/>
        </w:rPr>
      </w:pPr>
      <w:r>
        <w:rPr>
          <w:rFonts w:cs="Arial"/>
          <w:szCs w:val="24"/>
        </w:rPr>
        <w:t xml:space="preserve">The appellant is a citizen of New Zealand who lived in Australia.  In August 2018, a delegate of the first respondent cancelled his visa under s 501(3A) of the </w:t>
      </w:r>
      <w:r>
        <w:rPr>
          <w:rFonts w:cs="Arial"/>
          <w:i/>
          <w:szCs w:val="24"/>
        </w:rPr>
        <w:t>Migration Act 1958</w:t>
      </w:r>
      <w:r>
        <w:rPr>
          <w:rFonts w:cs="Arial"/>
          <w:szCs w:val="24"/>
        </w:rPr>
        <w:t xml:space="preserve"> (</w:t>
      </w:r>
      <w:proofErr w:type="spellStart"/>
      <w:r>
        <w:rPr>
          <w:rFonts w:cs="Arial"/>
          <w:szCs w:val="24"/>
        </w:rPr>
        <w:t>Cth</w:t>
      </w:r>
      <w:proofErr w:type="spellEnd"/>
      <w:r>
        <w:rPr>
          <w:rFonts w:cs="Arial"/>
          <w:szCs w:val="24"/>
        </w:rPr>
        <w:t xml:space="preserve">) </w:t>
      </w:r>
      <w:r w:rsidRPr="00385979">
        <w:rPr>
          <w:rFonts w:cs="Arial"/>
          <w:szCs w:val="24"/>
        </w:rPr>
        <w:t>(“the Act”)</w:t>
      </w:r>
      <w:r>
        <w:rPr>
          <w:rFonts w:cs="Arial"/>
          <w:szCs w:val="24"/>
        </w:rPr>
        <w:t xml:space="preserve"> because the delegate was not satisfied that he passed the “character test”.  </w:t>
      </w:r>
      <w:proofErr w:type="spellStart"/>
      <w:r>
        <w:rPr>
          <w:rFonts w:cs="Arial"/>
          <w:szCs w:val="24"/>
        </w:rPr>
        <w:t>Mr</w:t>
      </w:r>
      <w:proofErr w:type="spellEnd"/>
      <w:r>
        <w:rPr>
          <w:rFonts w:cs="Arial"/>
          <w:szCs w:val="24"/>
        </w:rPr>
        <w:t xml:space="preserve"> Nathanson made representations to the first respondent about the revocation of the cancellation but a delegate refused to revoke the cancellation.  On 15 January 2019, the appellant applied to the second respondent for a review of that decision.  The second respondent affirmed the decision not to revoke the cancellation.</w:t>
      </w:r>
    </w:p>
    <w:p w14:paraId="00EB15E0" w14:textId="77777777" w:rsidR="00EE38B1" w:rsidRDefault="00EE38B1" w:rsidP="00EE38B1">
      <w:pPr>
        <w:jc w:val="both"/>
        <w:rPr>
          <w:rFonts w:cs="Arial"/>
          <w:szCs w:val="24"/>
        </w:rPr>
      </w:pPr>
    </w:p>
    <w:p w14:paraId="55B2F50F" w14:textId="77777777" w:rsidR="00EE38B1" w:rsidRDefault="00EE38B1" w:rsidP="00EE38B1">
      <w:pPr>
        <w:jc w:val="both"/>
        <w:rPr>
          <w:rFonts w:cs="Arial"/>
          <w:szCs w:val="24"/>
        </w:rPr>
      </w:pPr>
      <w:r>
        <w:rPr>
          <w:rFonts w:cs="Arial"/>
          <w:szCs w:val="24"/>
        </w:rPr>
        <w:t>The appellant applied to the Federal Court for judicial review of the second respondent’s decision.  The appellant argued that he had not been accorded procedural fairness by the second respondent.  In particular, the second respondent had not given him fair notice of an issue that turned out to be material to the decision.  He argued that he was not given a fair opportunity to address that issue in either his evidence or submissions.  The primary judge accepted that the appellant had not been accorded procedural fairness.  However, he found that this did not amount to jurisdictional error because it was not a material breach.  This was because the appellant had not demonstrated that “compliance” with the requirements of procedural fairness would have resulted in a different decision.</w:t>
      </w:r>
    </w:p>
    <w:p w14:paraId="620FA7DF" w14:textId="53BCBCDA" w:rsidR="00EE38B1" w:rsidRDefault="00EE38B1" w:rsidP="00EE38B1">
      <w:pPr>
        <w:tabs>
          <w:tab w:val="left" w:pos="2977"/>
        </w:tabs>
        <w:jc w:val="both"/>
        <w:rPr>
          <w:rFonts w:cs="Arial"/>
          <w:szCs w:val="24"/>
        </w:rPr>
      </w:pPr>
    </w:p>
    <w:p w14:paraId="16E3B159" w14:textId="77777777" w:rsidR="00EE38B1" w:rsidRDefault="00EE38B1" w:rsidP="00EE38B1">
      <w:pPr>
        <w:jc w:val="both"/>
        <w:rPr>
          <w:rFonts w:cs="Arial"/>
          <w:szCs w:val="24"/>
        </w:rPr>
      </w:pPr>
      <w:r>
        <w:rPr>
          <w:rFonts w:cs="Arial"/>
          <w:szCs w:val="24"/>
        </w:rPr>
        <w:t xml:space="preserve">The appellant appealed to the Full Court of the Federal Court.  The majority, Steward and Jackson JJ, found that, although the appellant had been denied procedural fairness, it did not amount to jurisdictional error.  The majority found that the appellant had not established that compliance with the obligations of procedural fairness could realistically have resulted in a different decision.   </w:t>
      </w:r>
      <w:proofErr w:type="spellStart"/>
      <w:r>
        <w:rPr>
          <w:rFonts w:cs="Arial"/>
          <w:szCs w:val="24"/>
        </w:rPr>
        <w:t>Wigney</w:t>
      </w:r>
      <w:proofErr w:type="spellEnd"/>
      <w:r>
        <w:rPr>
          <w:rFonts w:cs="Arial"/>
          <w:szCs w:val="24"/>
        </w:rPr>
        <w:t xml:space="preserve"> J, in dissent, found that the second respondent’s failure to give the appellant a fair hearing denied him the realistic possibility of a successful outcome and would have allowed the appeal.</w:t>
      </w:r>
    </w:p>
    <w:p w14:paraId="0AA5D4DC" w14:textId="58797DDD" w:rsidR="00EE38B1" w:rsidRDefault="00EE38B1" w:rsidP="00EE38B1">
      <w:pPr>
        <w:tabs>
          <w:tab w:val="left" w:pos="2977"/>
        </w:tabs>
        <w:jc w:val="both"/>
        <w:rPr>
          <w:rFonts w:cs="Arial"/>
          <w:szCs w:val="24"/>
        </w:rPr>
      </w:pPr>
    </w:p>
    <w:p w14:paraId="16FD7B31" w14:textId="77777777" w:rsidR="00EE38B1" w:rsidRPr="00855FEF" w:rsidRDefault="00EE38B1" w:rsidP="00EE38B1">
      <w:pPr>
        <w:jc w:val="both"/>
        <w:rPr>
          <w:rFonts w:cs="Arial"/>
          <w:szCs w:val="24"/>
        </w:rPr>
      </w:pPr>
      <w:r>
        <w:rPr>
          <w:rFonts w:cs="Arial"/>
          <w:szCs w:val="24"/>
        </w:rPr>
        <w:t>The appellant sought special leave to appeal which was granted on 15 October 2021.</w:t>
      </w:r>
    </w:p>
    <w:p w14:paraId="156BBFAD" w14:textId="77777777" w:rsidR="00EE38B1" w:rsidRDefault="00EE38B1" w:rsidP="00EE38B1">
      <w:pPr>
        <w:jc w:val="both"/>
        <w:rPr>
          <w:rFonts w:cs="Arial"/>
          <w:szCs w:val="24"/>
        </w:rPr>
      </w:pPr>
    </w:p>
    <w:p w14:paraId="61A4FE27" w14:textId="77777777" w:rsidR="00EE38B1" w:rsidRDefault="00EE38B1" w:rsidP="00EE38B1">
      <w:pPr>
        <w:jc w:val="both"/>
        <w:rPr>
          <w:rFonts w:cs="Arial"/>
          <w:szCs w:val="24"/>
        </w:rPr>
      </w:pPr>
      <w:r>
        <w:rPr>
          <w:rFonts w:cs="Arial"/>
          <w:szCs w:val="24"/>
        </w:rPr>
        <w:t>The ground of appeal is that:</w:t>
      </w:r>
    </w:p>
    <w:p w14:paraId="11B701C0" w14:textId="77777777" w:rsidR="00EE38B1" w:rsidRDefault="00EE38B1" w:rsidP="00EE38B1">
      <w:pPr>
        <w:jc w:val="both"/>
        <w:rPr>
          <w:rFonts w:cs="Arial"/>
          <w:szCs w:val="24"/>
        </w:rPr>
      </w:pPr>
    </w:p>
    <w:p w14:paraId="34CAE596" w14:textId="77777777" w:rsidR="00EE38B1" w:rsidRPr="00F13FA6" w:rsidRDefault="00EE38B1" w:rsidP="00EE38B1">
      <w:pPr>
        <w:pStyle w:val="ListParagraph"/>
        <w:numPr>
          <w:ilvl w:val="0"/>
          <w:numId w:val="10"/>
        </w:numPr>
        <w:jc w:val="both"/>
        <w:rPr>
          <w:rFonts w:cs="Arial"/>
          <w:sz w:val="24"/>
          <w:szCs w:val="24"/>
        </w:rPr>
      </w:pPr>
      <w:r>
        <w:rPr>
          <w:rFonts w:cs="Arial"/>
          <w:sz w:val="24"/>
          <w:szCs w:val="24"/>
        </w:rPr>
        <w:t>The Federal Court erred in not allowing the appeal, in that it should have held that the failure by the Administrative Appeals Tribunal to afford procedural fairness to the appellant amounted to jurisdictional error.</w:t>
      </w:r>
    </w:p>
    <w:p w14:paraId="47DE6AB7" w14:textId="5C8ECC05" w:rsidR="00EE38B1" w:rsidRDefault="00EE38B1" w:rsidP="00EE38B1">
      <w:pPr>
        <w:tabs>
          <w:tab w:val="left" w:pos="2977"/>
        </w:tabs>
        <w:jc w:val="both"/>
        <w:rPr>
          <w:rFonts w:cs="Arial"/>
          <w:szCs w:val="24"/>
        </w:rPr>
      </w:pPr>
    </w:p>
    <w:p w14:paraId="6D35D1D3" w14:textId="44BF8F14" w:rsidR="007E4251" w:rsidRDefault="007E4251">
      <w:pPr>
        <w:rPr>
          <w:rFonts w:cs="Arial"/>
          <w:szCs w:val="24"/>
        </w:rPr>
      </w:pPr>
      <w:r>
        <w:rPr>
          <w:rFonts w:cs="Arial"/>
          <w:szCs w:val="24"/>
        </w:rPr>
        <w:br w:type="page"/>
      </w:r>
    </w:p>
    <w:p w14:paraId="7A377C39" w14:textId="77777777" w:rsidR="001A5449" w:rsidRPr="00253C2F" w:rsidRDefault="001A5449" w:rsidP="001A5449">
      <w:pPr>
        <w:pStyle w:val="NoSpacing"/>
        <w:rPr>
          <w:rFonts w:ascii="Arial" w:eastAsia="Times New Roman" w:hAnsi="Arial" w:cs="Arial"/>
          <w:b/>
          <w:color w:val="000000"/>
          <w:sz w:val="28"/>
          <w:szCs w:val="28"/>
          <w:u w:val="single"/>
          <w:lang w:eastAsia="en-AU"/>
        </w:rPr>
      </w:pPr>
      <w:r w:rsidRPr="00253C2F">
        <w:rPr>
          <w:rFonts w:ascii="Arial" w:eastAsia="Times New Roman" w:hAnsi="Arial" w:cs="Arial"/>
          <w:b/>
          <w:color w:val="000000"/>
          <w:sz w:val="28"/>
          <w:szCs w:val="28"/>
          <w:u w:val="single"/>
          <w:lang w:eastAsia="en-AU"/>
        </w:rPr>
        <w:lastRenderedPageBreak/>
        <w:t xml:space="preserve">GARLETT v THE STATE OF WESTERN AUSTRALIA &amp; ANOR </w:t>
      </w:r>
      <w:r w:rsidRPr="00253C2F">
        <w:rPr>
          <w:rFonts w:ascii="Arial" w:eastAsia="Times New Roman" w:hAnsi="Arial" w:cs="Arial"/>
          <w:b/>
          <w:color w:val="000000"/>
          <w:sz w:val="28"/>
          <w:szCs w:val="28"/>
          <w:lang w:eastAsia="en-AU"/>
        </w:rPr>
        <w:t>(P56/2021)</w:t>
      </w:r>
    </w:p>
    <w:p w14:paraId="3DA59EB4" w14:textId="77777777" w:rsidR="001A5449" w:rsidRPr="00E651B8" w:rsidRDefault="001A5449" w:rsidP="001A5449">
      <w:pPr>
        <w:ind w:left="2694" w:hanging="2694"/>
        <w:jc w:val="both"/>
        <w:rPr>
          <w:rFonts w:cs="Arial"/>
          <w:szCs w:val="24"/>
        </w:rPr>
      </w:pPr>
    </w:p>
    <w:p w14:paraId="15C62CF2" w14:textId="77777777" w:rsidR="001A5449" w:rsidRPr="008A0364" w:rsidRDefault="001A5449" w:rsidP="001A5449">
      <w:pPr>
        <w:ind w:left="2880" w:hanging="2880"/>
        <w:rPr>
          <w:rFonts w:cs="Arial"/>
          <w:szCs w:val="24"/>
        </w:rPr>
      </w:pPr>
      <w:r w:rsidRPr="008A0364">
        <w:rPr>
          <w:rFonts w:cs="Arial"/>
          <w:szCs w:val="24"/>
          <w:u w:val="single"/>
        </w:rPr>
        <w:t>C</w:t>
      </w:r>
      <w:r>
        <w:rPr>
          <w:rFonts w:cs="Arial"/>
          <w:szCs w:val="24"/>
          <w:u w:val="single"/>
        </w:rPr>
        <w:t>ause removed</w:t>
      </w:r>
      <w:r w:rsidRPr="008A0364">
        <w:rPr>
          <w:rFonts w:cs="Arial"/>
          <w:szCs w:val="24"/>
          <w:u w:val="single"/>
        </w:rPr>
        <w:t xml:space="preserve"> from</w:t>
      </w:r>
      <w:r>
        <w:rPr>
          <w:rFonts w:cs="Arial"/>
          <w:szCs w:val="24"/>
        </w:rPr>
        <w:t>:</w:t>
      </w:r>
      <w:r w:rsidRPr="008A0364">
        <w:rPr>
          <w:rFonts w:cs="Arial"/>
          <w:szCs w:val="24"/>
        </w:rPr>
        <w:tab/>
      </w:r>
      <w:r>
        <w:rPr>
          <w:rFonts w:cs="Arial"/>
          <w:szCs w:val="24"/>
        </w:rPr>
        <w:t xml:space="preserve">Supreme Court of Western Australia Court of Appeal </w:t>
      </w:r>
      <w:r>
        <w:rPr>
          <w:rFonts w:cs="Arial"/>
          <w:szCs w:val="24"/>
        </w:rPr>
        <w:br/>
      </w:r>
    </w:p>
    <w:p w14:paraId="6EB6F350" w14:textId="706FD3E9" w:rsidR="001A5449" w:rsidRDefault="001A5449" w:rsidP="001A5449">
      <w:pPr>
        <w:tabs>
          <w:tab w:val="left" w:pos="2835"/>
        </w:tabs>
        <w:jc w:val="both"/>
        <w:rPr>
          <w:rFonts w:cs="Arial"/>
          <w:szCs w:val="24"/>
        </w:rPr>
      </w:pPr>
      <w:r>
        <w:rPr>
          <w:rFonts w:cs="Arial"/>
          <w:szCs w:val="24"/>
          <w:u w:val="single"/>
        </w:rPr>
        <w:t>Cause removed on</w:t>
      </w:r>
      <w:r>
        <w:rPr>
          <w:rFonts w:cs="Arial"/>
          <w:szCs w:val="24"/>
        </w:rPr>
        <w:t>:</w:t>
      </w:r>
      <w:r>
        <w:rPr>
          <w:rFonts w:cs="Arial"/>
          <w:szCs w:val="24"/>
        </w:rPr>
        <w:tab/>
        <w:t xml:space="preserve"> 21 December 2021</w:t>
      </w:r>
    </w:p>
    <w:p w14:paraId="7BA13520" w14:textId="77777777" w:rsidR="001A5449" w:rsidRDefault="001A5449" w:rsidP="001A5449">
      <w:pPr>
        <w:jc w:val="both"/>
        <w:rPr>
          <w:rFonts w:cs="Arial"/>
          <w:szCs w:val="24"/>
        </w:rPr>
      </w:pPr>
    </w:p>
    <w:p w14:paraId="72801092" w14:textId="54AE0270" w:rsidR="001A5449" w:rsidRDefault="001A5449" w:rsidP="001A5449">
      <w:pPr>
        <w:tabs>
          <w:tab w:val="left" w:pos="2835"/>
        </w:tabs>
        <w:jc w:val="both"/>
        <w:rPr>
          <w:rFonts w:cs="Arial"/>
          <w:szCs w:val="24"/>
        </w:rPr>
      </w:pPr>
      <w:r>
        <w:rPr>
          <w:rFonts w:cs="Arial"/>
          <w:szCs w:val="24"/>
          <w:u w:val="single"/>
        </w:rPr>
        <w:t>Primary judgment</w:t>
      </w:r>
      <w:r>
        <w:rPr>
          <w:rFonts w:cs="Arial"/>
          <w:szCs w:val="24"/>
        </w:rPr>
        <w:t>:</w:t>
      </w:r>
      <w:r>
        <w:rPr>
          <w:rFonts w:cs="Arial"/>
          <w:szCs w:val="24"/>
        </w:rPr>
        <w:tab/>
        <w:t xml:space="preserve"> Supreme Court of Western Australia</w:t>
      </w:r>
    </w:p>
    <w:p w14:paraId="3608AC4C" w14:textId="6C441BC2" w:rsidR="001A5449" w:rsidRPr="007971F4" w:rsidRDefault="001A5449" w:rsidP="001A5449">
      <w:pPr>
        <w:tabs>
          <w:tab w:val="left" w:pos="2835"/>
        </w:tabs>
        <w:jc w:val="both"/>
        <w:rPr>
          <w:rFonts w:cs="Arial"/>
          <w:szCs w:val="24"/>
        </w:rPr>
      </w:pPr>
      <w:r>
        <w:rPr>
          <w:rFonts w:cs="Arial"/>
          <w:szCs w:val="24"/>
        </w:rPr>
        <w:tab/>
        <w:t xml:space="preserve"> [2021] WASC 387</w:t>
      </w:r>
    </w:p>
    <w:p w14:paraId="05C6B1CF" w14:textId="77777777" w:rsidR="001A5449" w:rsidRDefault="001A5449" w:rsidP="001A5449">
      <w:pPr>
        <w:jc w:val="both"/>
        <w:rPr>
          <w:rFonts w:cs="Arial"/>
          <w:szCs w:val="24"/>
        </w:rPr>
      </w:pPr>
    </w:p>
    <w:p w14:paraId="32A00FA4" w14:textId="77777777" w:rsidR="001A5449" w:rsidRDefault="001A5449" w:rsidP="001A5449">
      <w:pPr>
        <w:jc w:val="both"/>
        <w:rPr>
          <w:rFonts w:cs="Arial"/>
          <w:szCs w:val="24"/>
        </w:rPr>
      </w:pPr>
      <w:r>
        <w:rPr>
          <w:rFonts w:cs="Arial"/>
          <w:szCs w:val="24"/>
        </w:rPr>
        <w:t>On 24 June 2019, the appellant pleaded guilty and was convicted, among other counts, of one count of aggravated robbery.  The offence was committed on 19 November 2017 and involved the theft of a pendant necklace and $20 in cash, in the company of others with threats of violence while pretending to be armed.  The appellant has been incarcerated since his arrest on 20 November 2017.</w:t>
      </w:r>
    </w:p>
    <w:p w14:paraId="4184DE52" w14:textId="77777777" w:rsidR="001A5449" w:rsidRDefault="001A5449" w:rsidP="001A5449">
      <w:pPr>
        <w:jc w:val="both"/>
        <w:rPr>
          <w:rFonts w:cs="Arial"/>
          <w:szCs w:val="24"/>
        </w:rPr>
      </w:pPr>
    </w:p>
    <w:p w14:paraId="2151BE2B" w14:textId="77777777" w:rsidR="001A5449" w:rsidRDefault="001A5449" w:rsidP="001A5449">
      <w:pPr>
        <w:jc w:val="both"/>
        <w:rPr>
          <w:rFonts w:cs="Arial"/>
          <w:szCs w:val="24"/>
        </w:rPr>
      </w:pPr>
      <w:r>
        <w:rPr>
          <w:rFonts w:cs="Arial"/>
          <w:szCs w:val="24"/>
        </w:rPr>
        <w:t>The appellant was sentenced to a total effective sentence of 3 years 6 months’ imprisonment, backdated to 20 November 2017, and he was ordered to be eligible for parole.  He was not released on parole and during his incarceration was sentenced to a further five months’ imprisonment for criminal damage.  He was due to be released on 19 October 2021.</w:t>
      </w:r>
    </w:p>
    <w:p w14:paraId="57F92AF2" w14:textId="77777777" w:rsidR="001A5449" w:rsidRDefault="001A5449" w:rsidP="001A5449">
      <w:pPr>
        <w:jc w:val="both"/>
        <w:rPr>
          <w:rFonts w:cs="Arial"/>
          <w:szCs w:val="24"/>
        </w:rPr>
      </w:pPr>
    </w:p>
    <w:p w14:paraId="0CF17004" w14:textId="77777777" w:rsidR="001A5449" w:rsidRDefault="001A5449" w:rsidP="001A5449">
      <w:pPr>
        <w:jc w:val="both"/>
        <w:rPr>
          <w:rFonts w:cs="Arial"/>
          <w:szCs w:val="24"/>
        </w:rPr>
      </w:pPr>
      <w:r w:rsidRPr="007971F4">
        <w:rPr>
          <w:rFonts w:cs="Arial"/>
          <w:szCs w:val="24"/>
        </w:rPr>
        <w:t xml:space="preserve">On 29 July 2021, the State applied for a restriction order under s 48 of the </w:t>
      </w:r>
      <w:proofErr w:type="gramStart"/>
      <w:r w:rsidRPr="007971F4">
        <w:rPr>
          <w:rFonts w:cs="Arial"/>
          <w:i/>
          <w:szCs w:val="24"/>
        </w:rPr>
        <w:t>High Risk</w:t>
      </w:r>
      <w:proofErr w:type="gramEnd"/>
      <w:r w:rsidRPr="007971F4">
        <w:rPr>
          <w:rFonts w:cs="Arial"/>
          <w:i/>
          <w:szCs w:val="24"/>
        </w:rPr>
        <w:t xml:space="preserve"> Serious Offenders Act 2020 </w:t>
      </w:r>
      <w:r w:rsidRPr="007971F4">
        <w:rPr>
          <w:rFonts w:cs="Arial"/>
          <w:szCs w:val="24"/>
        </w:rPr>
        <w:t>(WA)</w:t>
      </w:r>
      <w:r>
        <w:rPr>
          <w:rFonts w:cs="Arial"/>
          <w:szCs w:val="24"/>
        </w:rPr>
        <w:t xml:space="preserve"> </w:t>
      </w:r>
      <w:r w:rsidRPr="00707233">
        <w:rPr>
          <w:rFonts w:cs="Arial"/>
          <w:szCs w:val="24"/>
        </w:rPr>
        <w:t>(“the Act”)</w:t>
      </w:r>
      <w:r>
        <w:rPr>
          <w:rFonts w:cs="Arial"/>
          <w:szCs w:val="24"/>
        </w:rPr>
        <w:t xml:space="preserve"> and orders for the preparation of reports following a preliminary hearing under ss 46(2)(a), (b) and (d).  A restriction order under the Act may be either a ‘continuing detention order’ (s 26) or a ‘supervision order’ (s 27).  At the preliminary hearing on 13 October 2021 the appellant contended that parts of the Act were invalid. </w:t>
      </w:r>
    </w:p>
    <w:p w14:paraId="256304B9" w14:textId="77777777" w:rsidR="001A5449" w:rsidRDefault="001A5449" w:rsidP="001A5449">
      <w:pPr>
        <w:jc w:val="both"/>
        <w:rPr>
          <w:rFonts w:cs="Arial"/>
          <w:szCs w:val="24"/>
        </w:rPr>
      </w:pPr>
    </w:p>
    <w:p w14:paraId="62B8FAAE" w14:textId="77777777" w:rsidR="001A5449" w:rsidRDefault="001A5449" w:rsidP="001A5449">
      <w:pPr>
        <w:jc w:val="both"/>
        <w:rPr>
          <w:rFonts w:cs="Arial"/>
          <w:szCs w:val="24"/>
        </w:rPr>
      </w:pPr>
      <w:r>
        <w:rPr>
          <w:rFonts w:cs="Arial"/>
          <w:szCs w:val="24"/>
        </w:rPr>
        <w:t xml:space="preserve">On 18 October 2021, the primary judge, </w:t>
      </w:r>
      <w:proofErr w:type="spellStart"/>
      <w:r>
        <w:rPr>
          <w:rFonts w:cs="Arial"/>
          <w:szCs w:val="24"/>
        </w:rPr>
        <w:t>Corboy</w:t>
      </w:r>
      <w:proofErr w:type="spellEnd"/>
      <w:r>
        <w:rPr>
          <w:rFonts w:cs="Arial"/>
          <w:szCs w:val="24"/>
        </w:rPr>
        <w:t xml:space="preserve"> J, held that the challenged parts of the Act were not invalid.  On 12 November 2021, </w:t>
      </w:r>
      <w:proofErr w:type="spellStart"/>
      <w:r>
        <w:rPr>
          <w:rFonts w:cs="Arial"/>
          <w:szCs w:val="24"/>
        </w:rPr>
        <w:t>Corboy</w:t>
      </w:r>
      <w:proofErr w:type="spellEnd"/>
      <w:r>
        <w:rPr>
          <w:rFonts w:cs="Arial"/>
          <w:szCs w:val="24"/>
        </w:rPr>
        <w:t xml:space="preserve"> J made a declaration that none of the provisions of the Act contravene the Constitution or are inconsistent with s 9(1A) of the </w:t>
      </w:r>
      <w:r>
        <w:rPr>
          <w:rFonts w:cs="Arial"/>
          <w:i/>
          <w:szCs w:val="24"/>
        </w:rPr>
        <w:t xml:space="preserve">Racial Discrimination Act 1975 </w:t>
      </w:r>
      <w:r>
        <w:rPr>
          <w:rFonts w:cs="Arial"/>
          <w:szCs w:val="24"/>
        </w:rPr>
        <w:t>(</w:t>
      </w:r>
      <w:proofErr w:type="spellStart"/>
      <w:r>
        <w:rPr>
          <w:rFonts w:cs="Arial"/>
          <w:szCs w:val="24"/>
        </w:rPr>
        <w:t>Cth</w:t>
      </w:r>
      <w:proofErr w:type="spellEnd"/>
      <w:r>
        <w:rPr>
          <w:rFonts w:cs="Arial"/>
          <w:szCs w:val="24"/>
        </w:rPr>
        <w:t xml:space="preserve">) </w:t>
      </w:r>
      <w:r w:rsidRPr="00E530A5">
        <w:rPr>
          <w:rFonts w:cs="Arial"/>
          <w:szCs w:val="24"/>
        </w:rPr>
        <w:t>in so far as they apply to a serious offender under custodial sentence who has been convicted of the offences of robbery or assault with the intention to rob, as referred to in items 34 and 35 of Schedule 1 Division 1 of the Act</w:t>
      </w:r>
      <w:r>
        <w:rPr>
          <w:rFonts w:cs="Arial"/>
          <w:szCs w:val="24"/>
        </w:rPr>
        <w:t>.</w:t>
      </w:r>
    </w:p>
    <w:p w14:paraId="6D75DE5E" w14:textId="77777777" w:rsidR="001A5449" w:rsidRDefault="001A5449" w:rsidP="001A5449">
      <w:pPr>
        <w:jc w:val="both"/>
        <w:rPr>
          <w:rFonts w:cs="Arial"/>
          <w:szCs w:val="24"/>
        </w:rPr>
      </w:pPr>
    </w:p>
    <w:p w14:paraId="5DE0B156" w14:textId="77777777" w:rsidR="001A5449" w:rsidRDefault="001A5449" w:rsidP="001A5449">
      <w:pPr>
        <w:jc w:val="both"/>
        <w:rPr>
          <w:rFonts w:cs="Arial"/>
          <w:szCs w:val="24"/>
        </w:rPr>
      </w:pPr>
      <w:r>
        <w:rPr>
          <w:rFonts w:cs="Arial"/>
          <w:szCs w:val="24"/>
        </w:rPr>
        <w:t xml:space="preserve">On 23 November 2021, the appellant appealed to the Court of Appeal.  On 10 December 2021, the appellant applied under s 40 of the </w:t>
      </w:r>
      <w:r>
        <w:rPr>
          <w:rFonts w:cs="Arial"/>
          <w:i/>
          <w:szCs w:val="24"/>
        </w:rPr>
        <w:t>Judiciary Act 1903</w:t>
      </w:r>
      <w:r>
        <w:rPr>
          <w:rFonts w:cs="Arial"/>
          <w:szCs w:val="24"/>
        </w:rPr>
        <w:t xml:space="preserve"> (</w:t>
      </w:r>
      <w:proofErr w:type="spellStart"/>
      <w:r>
        <w:rPr>
          <w:rFonts w:cs="Arial"/>
          <w:szCs w:val="24"/>
        </w:rPr>
        <w:t>Cth</w:t>
      </w:r>
      <w:proofErr w:type="spellEnd"/>
      <w:r>
        <w:rPr>
          <w:rFonts w:cs="Arial"/>
          <w:szCs w:val="24"/>
        </w:rPr>
        <w:t>) to remove the cause in the Court of Appeal to the High Court.  On 21 December 2021, Gordon J ordered that the cause be removed to the High Court.</w:t>
      </w:r>
    </w:p>
    <w:p w14:paraId="10000D62" w14:textId="77777777" w:rsidR="001A5449" w:rsidRDefault="001A5449" w:rsidP="001A5449">
      <w:pPr>
        <w:jc w:val="both"/>
        <w:rPr>
          <w:rFonts w:cs="Arial"/>
          <w:szCs w:val="24"/>
        </w:rPr>
      </w:pPr>
    </w:p>
    <w:p w14:paraId="6D0E139C" w14:textId="77777777" w:rsidR="001A5449" w:rsidRDefault="001A5449" w:rsidP="001A5449">
      <w:pPr>
        <w:jc w:val="both"/>
        <w:rPr>
          <w:rFonts w:cs="Arial"/>
          <w:szCs w:val="24"/>
        </w:rPr>
      </w:pPr>
      <w:r>
        <w:rPr>
          <w:rFonts w:cs="Arial"/>
          <w:szCs w:val="24"/>
        </w:rPr>
        <w:t xml:space="preserve">On 31 January 2022, </w:t>
      </w:r>
      <w:proofErr w:type="spellStart"/>
      <w:r>
        <w:rPr>
          <w:rFonts w:cs="Arial"/>
          <w:szCs w:val="24"/>
        </w:rPr>
        <w:t>Mr</w:t>
      </w:r>
      <w:proofErr w:type="spellEnd"/>
      <w:r>
        <w:rPr>
          <w:rFonts w:cs="Arial"/>
          <w:szCs w:val="24"/>
        </w:rPr>
        <w:t xml:space="preserve"> Derek Ryan, who is currently subject to a supervision order under the Act, sought leave to appear as </w:t>
      </w:r>
      <w:r>
        <w:rPr>
          <w:rFonts w:cs="Arial"/>
          <w:i/>
          <w:szCs w:val="24"/>
        </w:rPr>
        <w:t xml:space="preserve">amicus curiae.  </w:t>
      </w:r>
      <w:r>
        <w:rPr>
          <w:rFonts w:cs="Arial"/>
          <w:szCs w:val="24"/>
        </w:rPr>
        <w:t xml:space="preserve">His written submissions were received by the Court, but the Court will not require oral submissions on his behalf.  The Attorneys-General of the Commonwealth, New South Wales, South Australia, Queensland, Tasmania and Victoria have intervened. </w:t>
      </w:r>
    </w:p>
    <w:p w14:paraId="0BA01404" w14:textId="77777777" w:rsidR="00512428" w:rsidRDefault="00512428" w:rsidP="001A5449">
      <w:pPr>
        <w:jc w:val="both"/>
        <w:rPr>
          <w:rFonts w:cs="Arial"/>
          <w:szCs w:val="24"/>
        </w:rPr>
      </w:pPr>
    </w:p>
    <w:p w14:paraId="6213D163" w14:textId="77777777" w:rsidR="00512428" w:rsidRDefault="00512428" w:rsidP="001A5449">
      <w:pPr>
        <w:jc w:val="both"/>
        <w:rPr>
          <w:rFonts w:cs="Arial"/>
          <w:szCs w:val="24"/>
        </w:rPr>
      </w:pPr>
    </w:p>
    <w:p w14:paraId="26042EFD" w14:textId="77777777" w:rsidR="00512428" w:rsidRDefault="00512428" w:rsidP="001A5449">
      <w:pPr>
        <w:jc w:val="both"/>
        <w:rPr>
          <w:rFonts w:cs="Arial"/>
          <w:szCs w:val="24"/>
        </w:rPr>
      </w:pPr>
    </w:p>
    <w:p w14:paraId="420D82FF" w14:textId="77777777" w:rsidR="00512428" w:rsidRDefault="00512428" w:rsidP="001A5449">
      <w:pPr>
        <w:jc w:val="both"/>
        <w:rPr>
          <w:rFonts w:cs="Arial"/>
          <w:szCs w:val="24"/>
        </w:rPr>
      </w:pPr>
    </w:p>
    <w:p w14:paraId="667866C8" w14:textId="77777777" w:rsidR="00512428" w:rsidRDefault="00512428" w:rsidP="001A5449">
      <w:pPr>
        <w:jc w:val="both"/>
        <w:rPr>
          <w:rFonts w:cs="Arial"/>
          <w:szCs w:val="24"/>
        </w:rPr>
      </w:pPr>
    </w:p>
    <w:p w14:paraId="48D2613D" w14:textId="77777777" w:rsidR="00512428" w:rsidRDefault="00512428" w:rsidP="001A5449">
      <w:pPr>
        <w:jc w:val="both"/>
        <w:rPr>
          <w:rFonts w:cs="Arial"/>
          <w:szCs w:val="24"/>
        </w:rPr>
      </w:pPr>
    </w:p>
    <w:p w14:paraId="111C5C9C" w14:textId="77777777" w:rsidR="00512428" w:rsidRDefault="00512428" w:rsidP="001A5449">
      <w:pPr>
        <w:jc w:val="both"/>
        <w:rPr>
          <w:rFonts w:cs="Arial"/>
          <w:szCs w:val="24"/>
        </w:rPr>
      </w:pPr>
    </w:p>
    <w:p w14:paraId="43ECA038" w14:textId="49E92AD0" w:rsidR="001A5449" w:rsidRDefault="001A5449" w:rsidP="001A5449">
      <w:pPr>
        <w:jc w:val="both"/>
        <w:rPr>
          <w:rFonts w:cs="Arial"/>
          <w:szCs w:val="24"/>
        </w:rPr>
      </w:pPr>
      <w:r>
        <w:rPr>
          <w:rFonts w:cs="Arial"/>
          <w:szCs w:val="24"/>
        </w:rPr>
        <w:lastRenderedPageBreak/>
        <w:t>The ground of appeal to be considered by the Court is that:</w:t>
      </w:r>
    </w:p>
    <w:p w14:paraId="67CB6B4B" w14:textId="77777777" w:rsidR="001A5449" w:rsidRDefault="001A5449" w:rsidP="001A5449">
      <w:pPr>
        <w:jc w:val="both"/>
        <w:rPr>
          <w:rFonts w:cs="Arial"/>
          <w:szCs w:val="24"/>
        </w:rPr>
      </w:pPr>
    </w:p>
    <w:p w14:paraId="01E00C1E" w14:textId="77777777" w:rsidR="001A5449" w:rsidRDefault="001A5449" w:rsidP="001A5449">
      <w:pPr>
        <w:pStyle w:val="ListParagraph"/>
        <w:numPr>
          <w:ilvl w:val="0"/>
          <w:numId w:val="10"/>
        </w:numPr>
        <w:jc w:val="both"/>
        <w:rPr>
          <w:rFonts w:cs="Arial"/>
          <w:sz w:val="24"/>
          <w:szCs w:val="24"/>
        </w:rPr>
      </w:pPr>
      <w:r>
        <w:rPr>
          <w:rFonts w:cs="Arial"/>
          <w:sz w:val="24"/>
          <w:szCs w:val="24"/>
        </w:rPr>
        <w:t xml:space="preserve">His Honour Justice </w:t>
      </w:r>
      <w:proofErr w:type="spellStart"/>
      <w:r>
        <w:rPr>
          <w:rFonts w:cs="Arial"/>
          <w:sz w:val="24"/>
          <w:szCs w:val="24"/>
        </w:rPr>
        <w:t>Corboy</w:t>
      </w:r>
      <w:proofErr w:type="spellEnd"/>
      <w:r>
        <w:rPr>
          <w:rFonts w:cs="Arial"/>
          <w:sz w:val="24"/>
          <w:szCs w:val="24"/>
        </w:rPr>
        <w:t xml:space="preserve"> erred in declaring that none of the provisions of the </w:t>
      </w:r>
      <w:proofErr w:type="gramStart"/>
      <w:r>
        <w:rPr>
          <w:rFonts w:cs="Arial"/>
          <w:i/>
          <w:sz w:val="24"/>
          <w:szCs w:val="24"/>
        </w:rPr>
        <w:t>High Risk</w:t>
      </w:r>
      <w:proofErr w:type="gramEnd"/>
      <w:r>
        <w:rPr>
          <w:rFonts w:cs="Arial"/>
          <w:i/>
          <w:sz w:val="24"/>
          <w:szCs w:val="24"/>
        </w:rPr>
        <w:t xml:space="preserve"> Serious Offenders Act 2020 </w:t>
      </w:r>
      <w:r>
        <w:rPr>
          <w:rFonts w:cs="Arial"/>
          <w:sz w:val="24"/>
          <w:szCs w:val="24"/>
        </w:rPr>
        <w:t>(WA):</w:t>
      </w:r>
    </w:p>
    <w:p w14:paraId="0B3D95A5" w14:textId="77777777" w:rsidR="001A5449" w:rsidRDefault="001A5449" w:rsidP="001A5449">
      <w:pPr>
        <w:pStyle w:val="ListParagraph"/>
        <w:jc w:val="both"/>
        <w:rPr>
          <w:rFonts w:cs="Arial"/>
          <w:sz w:val="24"/>
          <w:szCs w:val="24"/>
        </w:rPr>
      </w:pPr>
    </w:p>
    <w:p w14:paraId="54A29E01" w14:textId="77777777" w:rsidR="001A5449" w:rsidRDefault="001A5449" w:rsidP="001A5449">
      <w:pPr>
        <w:pStyle w:val="ListParagraph"/>
        <w:numPr>
          <w:ilvl w:val="0"/>
          <w:numId w:val="20"/>
        </w:numPr>
        <w:jc w:val="both"/>
        <w:rPr>
          <w:rFonts w:cs="Arial"/>
          <w:sz w:val="24"/>
          <w:szCs w:val="24"/>
        </w:rPr>
      </w:pPr>
      <w:r>
        <w:rPr>
          <w:rFonts w:cs="Arial"/>
          <w:sz w:val="24"/>
          <w:szCs w:val="24"/>
        </w:rPr>
        <w:t>contravene any requirement of Ch III of the Commonwealth Constitution; or</w:t>
      </w:r>
    </w:p>
    <w:p w14:paraId="7D946CA2" w14:textId="77777777" w:rsidR="001A5449" w:rsidRDefault="001A5449" w:rsidP="001A5449">
      <w:pPr>
        <w:pStyle w:val="ListParagraph"/>
        <w:ind w:left="1800"/>
        <w:jc w:val="both"/>
        <w:rPr>
          <w:rFonts w:cs="Arial"/>
          <w:sz w:val="24"/>
          <w:szCs w:val="24"/>
        </w:rPr>
      </w:pPr>
    </w:p>
    <w:p w14:paraId="4218836E" w14:textId="2F18EB51" w:rsidR="001A5449" w:rsidRDefault="001A5449" w:rsidP="001A5449">
      <w:pPr>
        <w:pStyle w:val="ListParagraph"/>
        <w:numPr>
          <w:ilvl w:val="0"/>
          <w:numId w:val="20"/>
        </w:numPr>
        <w:jc w:val="both"/>
        <w:rPr>
          <w:rFonts w:cs="Arial"/>
          <w:sz w:val="24"/>
          <w:szCs w:val="24"/>
        </w:rPr>
      </w:pPr>
      <w:r>
        <w:rPr>
          <w:rFonts w:cs="Arial"/>
          <w:sz w:val="24"/>
          <w:szCs w:val="24"/>
        </w:rPr>
        <w:t xml:space="preserve">are inconsistent with s 9(1A) of the </w:t>
      </w:r>
      <w:r>
        <w:rPr>
          <w:rFonts w:cs="Arial"/>
          <w:i/>
          <w:sz w:val="24"/>
          <w:szCs w:val="24"/>
        </w:rPr>
        <w:t xml:space="preserve">Racial Discrimination Act 1975 </w:t>
      </w:r>
      <w:r>
        <w:rPr>
          <w:rFonts w:cs="Arial"/>
          <w:sz w:val="24"/>
          <w:szCs w:val="24"/>
        </w:rPr>
        <w:t>(</w:t>
      </w:r>
      <w:proofErr w:type="spellStart"/>
      <w:r>
        <w:rPr>
          <w:rFonts w:cs="Arial"/>
          <w:sz w:val="24"/>
          <w:szCs w:val="24"/>
        </w:rPr>
        <w:t>Cth</w:t>
      </w:r>
      <w:proofErr w:type="spellEnd"/>
      <w:r>
        <w:rPr>
          <w:rFonts w:cs="Arial"/>
          <w:sz w:val="24"/>
          <w:szCs w:val="24"/>
        </w:rPr>
        <w:t xml:space="preserve">), </w:t>
      </w:r>
      <w:r w:rsidRPr="002A0817">
        <w:rPr>
          <w:rFonts w:cs="Arial"/>
          <w:sz w:val="24"/>
          <w:szCs w:val="24"/>
        </w:rPr>
        <w:t>in so far as they apply to a serious offender under custodial sentence who has been convicted of the offences of robbery or assault with the intention to rob, as referred to in items 34 and 35 of Schedule 1 Division 1 of the Act.</w:t>
      </w:r>
    </w:p>
    <w:p w14:paraId="5C33209C" w14:textId="77777777" w:rsidR="004B1F9E" w:rsidRPr="004B1F9E" w:rsidRDefault="004B1F9E" w:rsidP="004B1F9E">
      <w:pPr>
        <w:pStyle w:val="ListParagraph"/>
        <w:rPr>
          <w:rFonts w:cs="Arial"/>
          <w:sz w:val="24"/>
          <w:szCs w:val="24"/>
        </w:rPr>
      </w:pPr>
    </w:p>
    <w:p w14:paraId="6A0851B3" w14:textId="5A10B4CC" w:rsidR="004B1F9E" w:rsidRDefault="004B1F9E">
      <w:pPr>
        <w:rPr>
          <w:rFonts w:cs="Arial"/>
          <w:szCs w:val="24"/>
        </w:rPr>
      </w:pPr>
      <w:r>
        <w:rPr>
          <w:rFonts w:cs="Arial"/>
          <w:szCs w:val="24"/>
        </w:rPr>
        <w:br w:type="page"/>
      </w:r>
    </w:p>
    <w:p w14:paraId="39E6DFB4" w14:textId="77777777" w:rsidR="00677CB9" w:rsidRPr="00A44610" w:rsidRDefault="00677CB9" w:rsidP="00677CB9">
      <w:pPr>
        <w:pStyle w:val="NoSpacing"/>
        <w:rPr>
          <w:rFonts w:ascii="Arial" w:eastAsia="Times New Roman" w:hAnsi="Arial" w:cs="Arial"/>
          <w:b/>
          <w:color w:val="000000"/>
          <w:sz w:val="28"/>
          <w:szCs w:val="28"/>
          <w:u w:val="single"/>
          <w:lang w:eastAsia="en-AU"/>
        </w:rPr>
      </w:pPr>
      <w:r w:rsidRPr="00A44610">
        <w:rPr>
          <w:rFonts w:ascii="Arial" w:eastAsia="Times New Roman" w:hAnsi="Arial" w:cs="Arial"/>
          <w:b/>
          <w:color w:val="000000"/>
          <w:sz w:val="28"/>
          <w:szCs w:val="28"/>
          <w:u w:val="single"/>
          <w:lang w:eastAsia="en-AU"/>
        </w:rPr>
        <w:lastRenderedPageBreak/>
        <w:t>BELL v THE QUEEN</w:t>
      </w:r>
      <w:r>
        <w:rPr>
          <w:rFonts w:ascii="Arial" w:eastAsia="Times New Roman" w:hAnsi="Arial" w:cs="Arial"/>
          <w:b/>
          <w:color w:val="000000"/>
          <w:sz w:val="28"/>
          <w:szCs w:val="28"/>
          <w:lang w:eastAsia="en-AU"/>
        </w:rPr>
        <w:t xml:space="preserve"> </w:t>
      </w:r>
      <w:r w:rsidRPr="00A44610">
        <w:rPr>
          <w:rFonts w:ascii="Arial" w:eastAsia="Times New Roman" w:hAnsi="Arial" w:cs="Arial"/>
          <w:b/>
          <w:color w:val="000000"/>
          <w:sz w:val="28"/>
          <w:szCs w:val="28"/>
          <w:lang w:eastAsia="en-AU"/>
        </w:rPr>
        <w:t>(A30/2021)</w:t>
      </w:r>
    </w:p>
    <w:p w14:paraId="6920C119" w14:textId="77777777" w:rsidR="00677CB9" w:rsidRPr="00E651B8" w:rsidRDefault="00677CB9" w:rsidP="00677CB9">
      <w:pPr>
        <w:ind w:left="2694" w:hanging="2694"/>
        <w:jc w:val="both"/>
        <w:rPr>
          <w:rFonts w:cs="Arial"/>
          <w:szCs w:val="24"/>
        </w:rPr>
      </w:pPr>
    </w:p>
    <w:p w14:paraId="289CCB94" w14:textId="77777777" w:rsidR="00677CB9" w:rsidRDefault="00677CB9" w:rsidP="00677CB9">
      <w:pPr>
        <w:ind w:left="2880" w:hanging="2880"/>
        <w:rPr>
          <w:rFonts w:cs="Arial"/>
          <w:szCs w:val="24"/>
        </w:rPr>
      </w:pPr>
      <w:r w:rsidRPr="008A0364">
        <w:rPr>
          <w:rFonts w:cs="Arial"/>
          <w:szCs w:val="24"/>
          <w:u w:val="single"/>
        </w:rPr>
        <w:t>Court appealed from</w:t>
      </w:r>
      <w:r>
        <w:rPr>
          <w:rFonts w:cs="Arial"/>
          <w:szCs w:val="24"/>
        </w:rPr>
        <w:t>:</w:t>
      </w:r>
      <w:r w:rsidRPr="008A0364">
        <w:rPr>
          <w:rFonts w:cs="Arial"/>
          <w:szCs w:val="24"/>
        </w:rPr>
        <w:tab/>
      </w:r>
      <w:r>
        <w:rPr>
          <w:rFonts w:cs="Arial"/>
          <w:szCs w:val="24"/>
        </w:rPr>
        <w:t xml:space="preserve">Supreme Court of South Australia Full Court </w:t>
      </w:r>
      <w:r>
        <w:rPr>
          <w:rFonts w:cs="Arial"/>
          <w:szCs w:val="24"/>
        </w:rPr>
        <w:br/>
      </w:r>
      <w:r w:rsidRPr="00F91228">
        <w:rPr>
          <w:rFonts w:cs="Arial"/>
          <w:szCs w:val="24"/>
        </w:rPr>
        <w:t xml:space="preserve">[2020] </w:t>
      </w:r>
      <w:r>
        <w:rPr>
          <w:rFonts w:cs="Arial"/>
          <w:szCs w:val="24"/>
        </w:rPr>
        <w:t>SASCFC 116</w:t>
      </w:r>
    </w:p>
    <w:p w14:paraId="223AAB08" w14:textId="77777777" w:rsidR="00677CB9" w:rsidRPr="008A0364" w:rsidRDefault="00677CB9" w:rsidP="00677CB9">
      <w:pPr>
        <w:ind w:left="2552" w:hanging="2552"/>
        <w:jc w:val="both"/>
        <w:rPr>
          <w:rFonts w:cs="Arial"/>
          <w:szCs w:val="24"/>
        </w:rPr>
      </w:pPr>
    </w:p>
    <w:p w14:paraId="3FC02993" w14:textId="653487EB" w:rsidR="00677CB9" w:rsidRDefault="00677CB9" w:rsidP="00DF7B1F">
      <w:pPr>
        <w:tabs>
          <w:tab w:val="left" w:pos="2835"/>
        </w:tabs>
        <w:ind w:left="2552" w:hanging="2552"/>
        <w:rPr>
          <w:rFonts w:cs="Arial"/>
          <w:szCs w:val="24"/>
        </w:rPr>
      </w:pPr>
      <w:r w:rsidRPr="008A0364">
        <w:rPr>
          <w:rFonts w:cs="Arial"/>
          <w:szCs w:val="24"/>
          <w:u w:val="single"/>
        </w:rPr>
        <w:t>Date of judgment</w:t>
      </w:r>
      <w:r>
        <w:rPr>
          <w:rFonts w:cs="Arial"/>
          <w:szCs w:val="24"/>
        </w:rPr>
        <w:t>:</w:t>
      </w:r>
      <w:r>
        <w:rPr>
          <w:rFonts w:cs="Arial"/>
          <w:szCs w:val="24"/>
        </w:rPr>
        <w:tab/>
      </w:r>
      <w:r>
        <w:rPr>
          <w:rFonts w:cs="Arial"/>
          <w:szCs w:val="24"/>
        </w:rPr>
        <w:tab/>
        <w:t xml:space="preserve"> 3 December 2020</w:t>
      </w:r>
    </w:p>
    <w:p w14:paraId="4A07B3CF" w14:textId="77777777" w:rsidR="00677CB9" w:rsidRDefault="00677CB9" w:rsidP="00677CB9">
      <w:pPr>
        <w:ind w:left="2552" w:hanging="2552"/>
        <w:rPr>
          <w:rFonts w:cs="Arial"/>
          <w:szCs w:val="24"/>
        </w:rPr>
      </w:pPr>
    </w:p>
    <w:p w14:paraId="2489EA03" w14:textId="691C7DFB" w:rsidR="00677CB9" w:rsidRPr="001D2812" w:rsidRDefault="00677CB9" w:rsidP="00DF7B1F">
      <w:pPr>
        <w:tabs>
          <w:tab w:val="left" w:pos="2835"/>
        </w:tabs>
        <w:jc w:val="both"/>
        <w:rPr>
          <w:rFonts w:cs="Arial"/>
          <w:szCs w:val="24"/>
        </w:rPr>
      </w:pPr>
      <w:r>
        <w:rPr>
          <w:rFonts w:cs="Arial"/>
          <w:szCs w:val="24"/>
          <w:u w:val="single"/>
        </w:rPr>
        <w:t>Special leave granted</w:t>
      </w:r>
      <w:r>
        <w:rPr>
          <w:rFonts w:cs="Arial"/>
          <w:szCs w:val="24"/>
        </w:rPr>
        <w:t>:</w:t>
      </w:r>
      <w:r>
        <w:rPr>
          <w:rFonts w:cs="Arial"/>
          <w:szCs w:val="24"/>
        </w:rPr>
        <w:tab/>
      </w:r>
      <w:r w:rsidR="00DF7B1F">
        <w:rPr>
          <w:rFonts w:cs="Arial"/>
          <w:szCs w:val="24"/>
        </w:rPr>
        <w:t xml:space="preserve"> </w:t>
      </w:r>
      <w:r>
        <w:rPr>
          <w:rFonts w:cs="Arial"/>
          <w:szCs w:val="24"/>
        </w:rPr>
        <w:t>13 August 2021</w:t>
      </w:r>
    </w:p>
    <w:p w14:paraId="59E33873" w14:textId="77777777" w:rsidR="00677CB9" w:rsidRDefault="00677CB9" w:rsidP="00677CB9">
      <w:pPr>
        <w:jc w:val="both"/>
        <w:rPr>
          <w:rFonts w:cs="Arial"/>
          <w:szCs w:val="24"/>
        </w:rPr>
      </w:pPr>
    </w:p>
    <w:p w14:paraId="7CF978ED" w14:textId="77777777" w:rsidR="00677CB9" w:rsidRDefault="00677CB9" w:rsidP="00677CB9">
      <w:pPr>
        <w:jc w:val="both"/>
        <w:rPr>
          <w:rFonts w:cs="Arial"/>
          <w:szCs w:val="24"/>
        </w:rPr>
      </w:pPr>
      <w:r>
        <w:rPr>
          <w:rFonts w:cs="Arial"/>
          <w:szCs w:val="24"/>
        </w:rPr>
        <w:t xml:space="preserve">In November 2014, the South Australian Independent Commissioner Against Corruption </w:t>
      </w:r>
      <w:r w:rsidRPr="008F5E7F">
        <w:rPr>
          <w:rFonts w:cs="Arial"/>
          <w:szCs w:val="24"/>
        </w:rPr>
        <w:t>(“the Commissioner”)</w:t>
      </w:r>
      <w:r>
        <w:rPr>
          <w:rFonts w:cs="Arial"/>
          <w:szCs w:val="24"/>
        </w:rPr>
        <w:t xml:space="preserve"> decided to investigate the appellant.  During the investigation, three witnesses were compulsorily </w:t>
      </w:r>
      <w:proofErr w:type="gramStart"/>
      <w:r>
        <w:rPr>
          <w:rFonts w:cs="Arial"/>
          <w:szCs w:val="24"/>
        </w:rPr>
        <w:t>examined</w:t>
      </w:r>
      <w:proofErr w:type="gramEnd"/>
      <w:r>
        <w:rPr>
          <w:rFonts w:cs="Arial"/>
          <w:szCs w:val="24"/>
        </w:rPr>
        <w:t xml:space="preserve"> and search warrants were executed.  In May 2017, the Commissioner forwarded the matter to the Director of Public Prosecutions </w:t>
      </w:r>
      <w:r w:rsidRPr="008A7783">
        <w:rPr>
          <w:rFonts w:cs="Arial"/>
          <w:szCs w:val="24"/>
        </w:rPr>
        <w:t>(“the Director”)</w:t>
      </w:r>
      <w:r>
        <w:rPr>
          <w:rFonts w:cs="Arial"/>
          <w:szCs w:val="24"/>
        </w:rPr>
        <w:t xml:space="preserve"> to determine whether a prosecution should be instituted.</w:t>
      </w:r>
    </w:p>
    <w:p w14:paraId="09A1248C" w14:textId="77777777" w:rsidR="00677CB9" w:rsidRDefault="00677CB9" w:rsidP="00677CB9">
      <w:pPr>
        <w:jc w:val="both"/>
        <w:rPr>
          <w:rFonts w:cs="Arial"/>
          <w:szCs w:val="24"/>
        </w:rPr>
      </w:pPr>
    </w:p>
    <w:p w14:paraId="0603B97F" w14:textId="77777777" w:rsidR="00677CB9" w:rsidRDefault="00677CB9" w:rsidP="00677CB9">
      <w:pPr>
        <w:jc w:val="both"/>
        <w:rPr>
          <w:rFonts w:cs="Arial"/>
          <w:szCs w:val="24"/>
        </w:rPr>
      </w:pPr>
      <w:r>
        <w:rPr>
          <w:rFonts w:cs="Arial"/>
          <w:szCs w:val="24"/>
        </w:rPr>
        <w:t>In August 2017, the Director filed an Information in the Magistrates Court.  The appellant was later committed for trial in the District Court.  ICAC investigators served and filed documents and other evidentiary material including the witness statements of the witnesses who had been compulsorily examined.</w:t>
      </w:r>
    </w:p>
    <w:p w14:paraId="57EFFE2C" w14:textId="77777777" w:rsidR="00677CB9" w:rsidRDefault="00677CB9" w:rsidP="00677CB9">
      <w:pPr>
        <w:jc w:val="both"/>
        <w:rPr>
          <w:rFonts w:cs="Arial"/>
          <w:szCs w:val="24"/>
        </w:rPr>
      </w:pPr>
    </w:p>
    <w:p w14:paraId="2CF6D14D" w14:textId="77777777" w:rsidR="00677CB9" w:rsidRDefault="00677CB9" w:rsidP="00677CB9">
      <w:pPr>
        <w:jc w:val="both"/>
        <w:rPr>
          <w:rFonts w:cs="Arial"/>
          <w:szCs w:val="24"/>
        </w:rPr>
      </w:pPr>
      <w:r>
        <w:rPr>
          <w:rFonts w:cs="Arial"/>
          <w:szCs w:val="24"/>
        </w:rPr>
        <w:t>In June 2020, the appellant filed an application seeking a permanent stay.  The primary judge observed that ICAC investigators had taken on the role that would usually be performed by SA Police in an indictable matter.  She found that the Commissioner had acted unlawfully in referring the matter directly to the Director, exercising various powers and performing a prosecutorial role.  She found that ICAC investigators had stepped beyond the statutory functions of ICAC into the arena of criminal proceedings.  However, the primary judge refused the stay on the basis that the appellant could still receive a fair trial and the administration of justice would not otherwise be brought into disrepute.</w:t>
      </w:r>
    </w:p>
    <w:p w14:paraId="13C83F5B" w14:textId="77777777" w:rsidR="00677CB9" w:rsidRDefault="00677CB9" w:rsidP="00677CB9">
      <w:pPr>
        <w:jc w:val="both"/>
        <w:rPr>
          <w:rFonts w:cs="Arial"/>
          <w:szCs w:val="24"/>
        </w:rPr>
      </w:pPr>
    </w:p>
    <w:p w14:paraId="04334B5F" w14:textId="77777777" w:rsidR="00677CB9" w:rsidRPr="00C07B28" w:rsidRDefault="00677CB9" w:rsidP="00677CB9">
      <w:pPr>
        <w:jc w:val="both"/>
        <w:rPr>
          <w:rFonts w:cs="Arial"/>
          <w:szCs w:val="24"/>
        </w:rPr>
      </w:pPr>
      <w:r>
        <w:rPr>
          <w:rFonts w:cs="Arial"/>
          <w:szCs w:val="24"/>
        </w:rPr>
        <w:t xml:space="preserve">The appellant filed a notice of appeal against the refusal of the stay.  The Director filed a notice of contention on the appeal and made an application for the referral of questions of law.  The Full Court, in answering the questions of law, found that the referral and conduct of the prosecution were lawful and not inconsistent with the </w:t>
      </w:r>
      <w:r>
        <w:rPr>
          <w:rFonts w:cs="Arial"/>
          <w:i/>
          <w:szCs w:val="24"/>
        </w:rPr>
        <w:t xml:space="preserve">Independent Commissioner Against Corruption Act </w:t>
      </w:r>
      <w:r w:rsidRPr="000039D4">
        <w:rPr>
          <w:rFonts w:cs="Arial"/>
          <w:i/>
          <w:iCs/>
          <w:szCs w:val="24"/>
        </w:rPr>
        <w:t>2012</w:t>
      </w:r>
      <w:r>
        <w:rPr>
          <w:rFonts w:cs="Arial"/>
          <w:szCs w:val="24"/>
        </w:rPr>
        <w:t xml:space="preserve"> (SA) </w:t>
      </w:r>
      <w:r w:rsidRPr="00C07B28">
        <w:rPr>
          <w:rFonts w:cs="Arial"/>
          <w:szCs w:val="24"/>
        </w:rPr>
        <w:t>(“the ICAC Act”).</w:t>
      </w:r>
    </w:p>
    <w:p w14:paraId="3EDF2FAA" w14:textId="77777777" w:rsidR="00677CB9" w:rsidRDefault="00677CB9" w:rsidP="00677CB9">
      <w:pPr>
        <w:jc w:val="both"/>
        <w:rPr>
          <w:rFonts w:cs="Arial"/>
          <w:szCs w:val="24"/>
        </w:rPr>
      </w:pPr>
    </w:p>
    <w:p w14:paraId="1334506C" w14:textId="77777777" w:rsidR="00677CB9" w:rsidRPr="00855FEF" w:rsidRDefault="00677CB9" w:rsidP="00677CB9">
      <w:pPr>
        <w:jc w:val="both"/>
        <w:rPr>
          <w:rFonts w:cs="Arial"/>
          <w:szCs w:val="24"/>
        </w:rPr>
      </w:pPr>
      <w:r>
        <w:rPr>
          <w:rFonts w:cs="Arial"/>
          <w:szCs w:val="24"/>
        </w:rPr>
        <w:t>The appellant sought special leave to appeal which was granted on 13 August 2021.</w:t>
      </w:r>
    </w:p>
    <w:p w14:paraId="58FDF388" w14:textId="77777777" w:rsidR="00677CB9" w:rsidRDefault="00677CB9" w:rsidP="00677CB9">
      <w:pPr>
        <w:jc w:val="both"/>
        <w:rPr>
          <w:rFonts w:cs="Arial"/>
          <w:szCs w:val="24"/>
        </w:rPr>
      </w:pPr>
    </w:p>
    <w:p w14:paraId="2174A05E" w14:textId="77777777" w:rsidR="00677CB9" w:rsidRDefault="00677CB9" w:rsidP="00677CB9">
      <w:pPr>
        <w:jc w:val="both"/>
        <w:rPr>
          <w:rFonts w:cs="Arial"/>
          <w:szCs w:val="24"/>
        </w:rPr>
      </w:pPr>
      <w:r>
        <w:rPr>
          <w:rFonts w:cs="Arial"/>
          <w:szCs w:val="24"/>
        </w:rPr>
        <w:t>The grounds of appeal are that:</w:t>
      </w:r>
    </w:p>
    <w:p w14:paraId="12390893" w14:textId="77777777" w:rsidR="00677CB9" w:rsidRDefault="00677CB9" w:rsidP="00677CB9">
      <w:pPr>
        <w:jc w:val="both"/>
        <w:rPr>
          <w:rFonts w:cs="Arial"/>
          <w:szCs w:val="24"/>
        </w:rPr>
      </w:pPr>
    </w:p>
    <w:p w14:paraId="7EF7F057" w14:textId="717B7324" w:rsidR="00677CB9" w:rsidRPr="00677CB9" w:rsidRDefault="00677CB9" w:rsidP="00677CB9">
      <w:pPr>
        <w:pStyle w:val="ListParagraph"/>
        <w:numPr>
          <w:ilvl w:val="0"/>
          <w:numId w:val="10"/>
        </w:numPr>
        <w:jc w:val="both"/>
        <w:rPr>
          <w:rFonts w:cs="Arial"/>
          <w:sz w:val="24"/>
          <w:szCs w:val="24"/>
        </w:rPr>
      </w:pPr>
      <w:r>
        <w:rPr>
          <w:rFonts w:cs="Arial"/>
          <w:sz w:val="24"/>
          <w:szCs w:val="24"/>
        </w:rPr>
        <w:t xml:space="preserve">The Full Court erred in finding that the </w:t>
      </w:r>
      <w:r>
        <w:rPr>
          <w:rFonts w:cs="Arial"/>
          <w:i/>
          <w:sz w:val="24"/>
          <w:szCs w:val="24"/>
        </w:rPr>
        <w:t xml:space="preserve">Independent Commissioner Against Corruption Act </w:t>
      </w:r>
      <w:r w:rsidRPr="006F606B">
        <w:rPr>
          <w:rFonts w:cs="Arial"/>
          <w:i/>
          <w:iCs/>
          <w:sz w:val="24"/>
          <w:szCs w:val="24"/>
        </w:rPr>
        <w:t>2012</w:t>
      </w:r>
      <w:r>
        <w:rPr>
          <w:rFonts w:cs="Arial"/>
          <w:sz w:val="24"/>
          <w:szCs w:val="24"/>
        </w:rPr>
        <w:t xml:space="preserve"> (SA) authorised the Independent Commissioner Against Corruption to refer a matter for prosecution directly to the Director of Public Prosecutions and to provide to the Director evidentiary material obtained in the course of an investigation including by the exercise of compulsive powers</w:t>
      </w:r>
      <w:r w:rsidRPr="00F91228">
        <w:rPr>
          <w:rFonts w:cs="Arial"/>
          <w:sz w:val="24"/>
          <w:szCs w:val="24"/>
        </w:rPr>
        <w:t>.</w:t>
      </w:r>
    </w:p>
    <w:p w14:paraId="08CC2F79" w14:textId="77777777" w:rsidR="00677CB9" w:rsidRPr="00954A66" w:rsidRDefault="00677CB9" w:rsidP="00677CB9">
      <w:pPr>
        <w:jc w:val="both"/>
        <w:rPr>
          <w:rFonts w:cs="Arial"/>
          <w:szCs w:val="24"/>
        </w:rPr>
      </w:pPr>
    </w:p>
    <w:p w14:paraId="1C45DDCC" w14:textId="77777777" w:rsidR="00677CB9" w:rsidRPr="00F13FA6" w:rsidRDefault="00677CB9" w:rsidP="00677CB9">
      <w:pPr>
        <w:pStyle w:val="ListParagraph"/>
        <w:numPr>
          <w:ilvl w:val="0"/>
          <w:numId w:val="10"/>
        </w:numPr>
        <w:jc w:val="both"/>
        <w:rPr>
          <w:rFonts w:cs="Arial"/>
          <w:sz w:val="24"/>
          <w:szCs w:val="24"/>
        </w:rPr>
      </w:pPr>
      <w:r>
        <w:rPr>
          <w:rFonts w:cs="Arial"/>
          <w:sz w:val="24"/>
          <w:szCs w:val="24"/>
        </w:rPr>
        <w:t>The Full Court erred in finding that, following referral of the matter for prosecution and the institution of criminal proceedings, the Commissioner was authorised under the ICAC Act or otherwise to provide assistance to the Director in connection with the prosecution of the applicant including by the exercise of compulsive powers.</w:t>
      </w:r>
    </w:p>
    <w:p w14:paraId="4DF4D365" w14:textId="77777777" w:rsidR="004B1F9E" w:rsidRPr="004B1F9E" w:rsidRDefault="004B1F9E" w:rsidP="004B1F9E">
      <w:pPr>
        <w:jc w:val="both"/>
        <w:rPr>
          <w:rFonts w:cs="Arial"/>
          <w:szCs w:val="24"/>
        </w:rPr>
      </w:pPr>
    </w:p>
    <w:p w14:paraId="5676862F" w14:textId="77777777" w:rsidR="00913725" w:rsidRPr="007008F4" w:rsidRDefault="00913725" w:rsidP="00913725">
      <w:pPr>
        <w:pStyle w:val="NoSpacing"/>
        <w:rPr>
          <w:rFonts w:ascii="Arial" w:eastAsia="Times New Roman" w:hAnsi="Arial" w:cs="Arial"/>
          <w:b/>
          <w:color w:val="000000"/>
          <w:sz w:val="28"/>
          <w:szCs w:val="28"/>
          <w:u w:val="single"/>
          <w:lang w:eastAsia="en-AU"/>
        </w:rPr>
      </w:pPr>
      <w:bookmarkStart w:id="1" w:name="_Hlk97217386"/>
      <w:r>
        <w:rPr>
          <w:rFonts w:ascii="Arial" w:eastAsia="Times New Roman" w:hAnsi="Arial" w:cs="Arial"/>
          <w:b/>
          <w:color w:val="000000"/>
          <w:sz w:val="28"/>
          <w:szCs w:val="28"/>
          <w:u w:val="single"/>
          <w:lang w:eastAsia="en-AU"/>
        </w:rPr>
        <w:lastRenderedPageBreak/>
        <w:t>HOANG v</w:t>
      </w:r>
      <w:r w:rsidRPr="006B72BF">
        <w:rPr>
          <w:rFonts w:ascii="Arial" w:eastAsia="Times New Roman" w:hAnsi="Arial" w:cs="Arial"/>
          <w:b/>
          <w:color w:val="000000"/>
          <w:sz w:val="28"/>
          <w:szCs w:val="28"/>
          <w:u w:val="single"/>
          <w:lang w:eastAsia="en-AU"/>
        </w:rPr>
        <w:t xml:space="preserve"> </w:t>
      </w:r>
      <w:r>
        <w:rPr>
          <w:rFonts w:ascii="Arial" w:eastAsia="Times New Roman" w:hAnsi="Arial" w:cs="Arial"/>
          <w:b/>
          <w:color w:val="000000"/>
          <w:sz w:val="28"/>
          <w:szCs w:val="28"/>
          <w:u w:val="single"/>
          <w:lang w:eastAsia="en-AU"/>
        </w:rPr>
        <w:t>THE QUEEN</w:t>
      </w:r>
      <w:r w:rsidRPr="007008F4">
        <w:rPr>
          <w:rFonts w:ascii="Arial" w:eastAsia="Times New Roman" w:hAnsi="Arial" w:cs="Arial"/>
          <w:b/>
          <w:color w:val="000000"/>
          <w:sz w:val="28"/>
          <w:szCs w:val="28"/>
          <w:lang w:eastAsia="en-AU"/>
        </w:rPr>
        <w:t xml:space="preserve"> (</w:t>
      </w:r>
      <w:r>
        <w:rPr>
          <w:rFonts w:ascii="Arial" w:eastAsia="Times New Roman" w:hAnsi="Arial" w:cs="Arial"/>
          <w:b/>
          <w:color w:val="000000"/>
          <w:sz w:val="28"/>
          <w:szCs w:val="28"/>
          <w:lang w:eastAsia="en-AU"/>
        </w:rPr>
        <w:t>S146 – S149/2021</w:t>
      </w:r>
      <w:r w:rsidRPr="007008F4">
        <w:rPr>
          <w:rFonts w:ascii="Arial" w:eastAsia="Times New Roman" w:hAnsi="Arial" w:cs="Arial"/>
          <w:b/>
          <w:color w:val="000000"/>
          <w:sz w:val="28"/>
          <w:szCs w:val="28"/>
          <w:lang w:eastAsia="en-AU"/>
        </w:rPr>
        <w:t>)</w:t>
      </w:r>
    </w:p>
    <w:p w14:paraId="1C06AFEA" w14:textId="77777777" w:rsidR="00913725" w:rsidRPr="00E651B8" w:rsidRDefault="00913725" w:rsidP="00913725">
      <w:pPr>
        <w:ind w:left="2694" w:hanging="2694"/>
        <w:rPr>
          <w:rFonts w:cs="Arial"/>
          <w:szCs w:val="24"/>
        </w:rPr>
      </w:pPr>
    </w:p>
    <w:p w14:paraId="47975AA1" w14:textId="77777777" w:rsidR="00913725" w:rsidRDefault="00913725" w:rsidP="00913725">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Court of Criminal Appeal of the Supreme Court of New South Wales</w:t>
      </w:r>
    </w:p>
    <w:p w14:paraId="147CBC4A" w14:textId="77777777" w:rsidR="00913725" w:rsidRPr="00F14559" w:rsidRDefault="00913725" w:rsidP="00913725">
      <w:pPr>
        <w:ind w:left="2552"/>
        <w:rPr>
          <w:rFonts w:cs="Arial"/>
          <w:szCs w:val="24"/>
        </w:rPr>
      </w:pPr>
      <w:r w:rsidRPr="00236C70">
        <w:rPr>
          <w:rFonts w:cs="Arial"/>
          <w:szCs w:val="24"/>
        </w:rPr>
        <w:t>[20</w:t>
      </w:r>
      <w:r>
        <w:rPr>
          <w:rFonts w:cs="Arial"/>
          <w:szCs w:val="24"/>
        </w:rPr>
        <w:t>18</w:t>
      </w:r>
      <w:r w:rsidRPr="00236C70">
        <w:rPr>
          <w:rFonts w:cs="Arial"/>
          <w:szCs w:val="24"/>
        </w:rPr>
        <w:t xml:space="preserve">] </w:t>
      </w:r>
      <w:r>
        <w:rPr>
          <w:rFonts w:cs="Arial"/>
          <w:szCs w:val="24"/>
        </w:rPr>
        <w:t>NSWCCA 166</w:t>
      </w:r>
    </w:p>
    <w:p w14:paraId="105028A5" w14:textId="77777777" w:rsidR="00913725" w:rsidRPr="008A0364" w:rsidRDefault="00913725" w:rsidP="00913725">
      <w:pPr>
        <w:ind w:left="2694" w:hanging="2694"/>
        <w:rPr>
          <w:rFonts w:cs="Arial"/>
          <w:szCs w:val="24"/>
        </w:rPr>
      </w:pPr>
    </w:p>
    <w:p w14:paraId="6E33F989" w14:textId="77777777" w:rsidR="00913725" w:rsidRDefault="00913725" w:rsidP="00913725">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3 August 2018</w:t>
      </w:r>
    </w:p>
    <w:p w14:paraId="5AF8F46E" w14:textId="77777777" w:rsidR="00913725" w:rsidRDefault="00913725" w:rsidP="00913725">
      <w:pPr>
        <w:ind w:left="2552" w:hanging="2552"/>
        <w:rPr>
          <w:rFonts w:cs="Arial"/>
          <w:szCs w:val="24"/>
        </w:rPr>
      </w:pPr>
    </w:p>
    <w:p w14:paraId="1BC5FCF3" w14:textId="77777777" w:rsidR="00913725" w:rsidRPr="006B3EDF" w:rsidRDefault="00913725" w:rsidP="00913725">
      <w:pPr>
        <w:tabs>
          <w:tab w:val="left" w:pos="4536"/>
        </w:tabs>
        <w:ind w:left="2552" w:hanging="2552"/>
        <w:rPr>
          <w:rFonts w:cs="Arial"/>
          <w:szCs w:val="24"/>
        </w:rPr>
      </w:pPr>
      <w:r w:rsidRPr="006B3EDF">
        <w:rPr>
          <w:rFonts w:cs="Arial"/>
          <w:szCs w:val="24"/>
          <w:u w:val="single"/>
        </w:rPr>
        <w:t>Special leave granted</w:t>
      </w:r>
      <w:r w:rsidRPr="006B3EDF">
        <w:rPr>
          <w:rFonts w:cs="Arial"/>
          <w:szCs w:val="24"/>
        </w:rPr>
        <w:t>:</w:t>
      </w:r>
      <w:r w:rsidRPr="006B3EDF">
        <w:rPr>
          <w:rFonts w:cs="Arial"/>
          <w:szCs w:val="24"/>
        </w:rPr>
        <w:tab/>
      </w:r>
      <w:r>
        <w:rPr>
          <w:rFonts w:cs="Arial"/>
          <w:szCs w:val="24"/>
        </w:rPr>
        <w:t>10 September 2021</w:t>
      </w:r>
    </w:p>
    <w:p w14:paraId="1585B9B7" w14:textId="77777777" w:rsidR="00913725" w:rsidRDefault="00913725" w:rsidP="00913725">
      <w:pPr>
        <w:rPr>
          <w:rFonts w:cs="Arial"/>
          <w:szCs w:val="24"/>
        </w:rPr>
      </w:pPr>
    </w:p>
    <w:p w14:paraId="4632673D" w14:textId="77777777" w:rsidR="00913725" w:rsidRDefault="00913725" w:rsidP="00913725">
      <w:pPr>
        <w:jc w:val="both"/>
        <w:rPr>
          <w:rFonts w:cs="Arial"/>
          <w:szCs w:val="24"/>
        </w:rPr>
      </w:pPr>
      <w:r>
        <w:rPr>
          <w:rFonts w:cs="Arial"/>
          <w:szCs w:val="24"/>
        </w:rPr>
        <w:t xml:space="preserve">In 2015 </w:t>
      </w:r>
      <w:proofErr w:type="spellStart"/>
      <w:r>
        <w:rPr>
          <w:rFonts w:cs="Arial"/>
          <w:szCs w:val="24"/>
        </w:rPr>
        <w:t>Mr</w:t>
      </w:r>
      <w:proofErr w:type="spellEnd"/>
      <w:r>
        <w:rPr>
          <w:rFonts w:cs="Arial"/>
          <w:szCs w:val="24"/>
        </w:rPr>
        <w:t xml:space="preserve"> </w:t>
      </w:r>
      <w:proofErr w:type="spellStart"/>
      <w:r>
        <w:rPr>
          <w:rFonts w:cs="Arial"/>
          <w:szCs w:val="24"/>
        </w:rPr>
        <w:t>Quy</w:t>
      </w:r>
      <w:proofErr w:type="spellEnd"/>
      <w:r>
        <w:rPr>
          <w:rFonts w:cs="Arial"/>
          <w:szCs w:val="24"/>
        </w:rPr>
        <w:t xml:space="preserve"> </w:t>
      </w:r>
      <w:proofErr w:type="spellStart"/>
      <w:r>
        <w:rPr>
          <w:rFonts w:cs="Arial"/>
          <w:szCs w:val="24"/>
        </w:rPr>
        <w:t>Huy</w:t>
      </w:r>
      <w:proofErr w:type="spellEnd"/>
      <w:r>
        <w:rPr>
          <w:rFonts w:cs="Arial"/>
          <w:szCs w:val="24"/>
        </w:rPr>
        <w:t xml:space="preserve"> Hoang stood trial before a jury, charged with 12 counts of sexual offending against five children whom he had tutored in mathematics.   One juror was discharged on account of ill health prior to the jury’s deliberations and giving of any verdicts.</w:t>
      </w:r>
    </w:p>
    <w:p w14:paraId="16AF6D20" w14:textId="77777777" w:rsidR="00913725" w:rsidRDefault="00913725" w:rsidP="00913725">
      <w:pPr>
        <w:jc w:val="both"/>
        <w:rPr>
          <w:rFonts w:cs="Arial"/>
          <w:szCs w:val="24"/>
        </w:rPr>
      </w:pPr>
    </w:p>
    <w:p w14:paraId="62FA0F8F" w14:textId="77777777" w:rsidR="00913725" w:rsidRDefault="00913725" w:rsidP="00913725">
      <w:pPr>
        <w:jc w:val="both"/>
        <w:rPr>
          <w:rFonts w:cs="Arial"/>
          <w:szCs w:val="24"/>
        </w:rPr>
      </w:pPr>
      <w:r>
        <w:rPr>
          <w:rFonts w:cs="Arial"/>
          <w:szCs w:val="24"/>
        </w:rPr>
        <w:t xml:space="preserve">On the night of 5 November 2015, after the remaining 11 jurors had agreed on verdicts in respect of eight counts, one of those jurors (“Juror A”) accessed information online in relation to a detail that had arisen in the trial: the need for persons in certain professions, including teaching, to hold a “Working with Children Certificate”.  Juror A was a retired teacher who was curious as to why she had not had such a certificate, learning online that the relevant legislative requirement had come into force only after she had retired.  Prior to the commencement of </w:t>
      </w:r>
      <w:proofErr w:type="gramStart"/>
      <w:r>
        <w:rPr>
          <w:rFonts w:cs="Arial"/>
          <w:szCs w:val="24"/>
        </w:rPr>
        <w:t>court</w:t>
      </w:r>
      <w:proofErr w:type="gramEnd"/>
      <w:r>
        <w:rPr>
          <w:rFonts w:cs="Arial"/>
          <w:szCs w:val="24"/>
        </w:rPr>
        <w:t xml:space="preserve"> the next day, the jury foreperson disclosed Juror A’s inquiry in a note to the trial judge, Judge </w:t>
      </w:r>
      <w:proofErr w:type="spellStart"/>
      <w:r>
        <w:rPr>
          <w:rFonts w:cs="Arial"/>
          <w:szCs w:val="24"/>
        </w:rPr>
        <w:t>Traill</w:t>
      </w:r>
      <w:proofErr w:type="spellEnd"/>
      <w:r>
        <w:rPr>
          <w:rFonts w:cs="Arial"/>
          <w:szCs w:val="24"/>
        </w:rPr>
        <w:t>.</w:t>
      </w:r>
    </w:p>
    <w:p w14:paraId="2E33BDDD" w14:textId="77777777" w:rsidR="00913725" w:rsidRDefault="00913725" w:rsidP="00913725">
      <w:pPr>
        <w:jc w:val="both"/>
        <w:rPr>
          <w:rFonts w:cs="Arial"/>
          <w:szCs w:val="24"/>
        </w:rPr>
      </w:pPr>
    </w:p>
    <w:p w14:paraId="120783C1" w14:textId="77777777" w:rsidR="00913725" w:rsidRDefault="00913725" w:rsidP="00913725">
      <w:pPr>
        <w:jc w:val="both"/>
        <w:rPr>
          <w:rFonts w:cs="Arial"/>
          <w:szCs w:val="24"/>
        </w:rPr>
      </w:pPr>
      <w:r>
        <w:rPr>
          <w:rFonts w:cs="Arial"/>
          <w:szCs w:val="24"/>
        </w:rPr>
        <w:t xml:space="preserve">On 6 November 2015 Judge </w:t>
      </w:r>
      <w:proofErr w:type="spellStart"/>
      <w:r>
        <w:rPr>
          <w:rFonts w:cs="Arial"/>
          <w:szCs w:val="24"/>
        </w:rPr>
        <w:t>Traill</w:t>
      </w:r>
      <w:proofErr w:type="spellEnd"/>
      <w:r>
        <w:rPr>
          <w:rFonts w:cs="Arial"/>
          <w:szCs w:val="24"/>
        </w:rPr>
        <w:t xml:space="preserve"> proceeded to take ten verdicts, comprising two agreed that day and those which had been agreed the previous day.  Juror A was then examined and discharged from the jury, Judge </w:t>
      </w:r>
      <w:proofErr w:type="spellStart"/>
      <w:r>
        <w:rPr>
          <w:rFonts w:cs="Arial"/>
          <w:szCs w:val="24"/>
        </w:rPr>
        <w:t>Traill</w:t>
      </w:r>
      <w:proofErr w:type="spellEnd"/>
      <w:r>
        <w:rPr>
          <w:rFonts w:cs="Arial"/>
          <w:szCs w:val="24"/>
        </w:rPr>
        <w:t xml:space="preserve"> finding that Juror A had engaged in “misconduct” as defined in s </w:t>
      </w:r>
      <w:r w:rsidRPr="00490355">
        <w:rPr>
          <w:rFonts w:cs="Arial"/>
          <w:szCs w:val="24"/>
        </w:rPr>
        <w:t xml:space="preserve">53A(2)(a) of the </w:t>
      </w:r>
      <w:r w:rsidRPr="00490355">
        <w:rPr>
          <w:rFonts w:cs="Arial"/>
          <w:i/>
          <w:szCs w:val="24"/>
        </w:rPr>
        <w:t>Jury Act 1977</w:t>
      </w:r>
      <w:r w:rsidRPr="00490355">
        <w:rPr>
          <w:rFonts w:cs="Arial"/>
          <w:szCs w:val="24"/>
        </w:rPr>
        <w:t xml:space="preserve"> (NSW) (“the Act”)</w:t>
      </w:r>
      <w:r>
        <w:rPr>
          <w:rFonts w:cs="Arial"/>
          <w:szCs w:val="24"/>
        </w:rPr>
        <w:t>.  This was on the basis that Juror A had contravened s 68</w:t>
      </w:r>
      <w:proofErr w:type="gramStart"/>
      <w:r>
        <w:rPr>
          <w:rFonts w:cs="Arial"/>
          <w:szCs w:val="24"/>
        </w:rPr>
        <w:t>C(</w:t>
      </w:r>
      <w:proofErr w:type="gramEnd"/>
      <w:r>
        <w:rPr>
          <w:rFonts w:cs="Arial"/>
          <w:szCs w:val="24"/>
        </w:rPr>
        <w:t xml:space="preserve">1) of the Act by conducting </w:t>
      </w:r>
      <w:r w:rsidRPr="00490355">
        <w:rPr>
          <w:rFonts w:cs="Arial"/>
          <w:szCs w:val="24"/>
        </w:rPr>
        <w:t xml:space="preserve">an inquiry </w:t>
      </w:r>
      <w:r>
        <w:rPr>
          <w:rFonts w:cs="Arial"/>
          <w:szCs w:val="24"/>
        </w:rPr>
        <w:t xml:space="preserve">for the purpose of obtaining </w:t>
      </w:r>
      <w:r w:rsidRPr="00490355">
        <w:rPr>
          <w:rFonts w:cs="Arial"/>
          <w:szCs w:val="24"/>
        </w:rPr>
        <w:t>information about a matter relevant to the trial</w:t>
      </w:r>
      <w:r>
        <w:rPr>
          <w:rFonts w:cs="Arial"/>
          <w:szCs w:val="24"/>
        </w:rPr>
        <w:t xml:space="preserve">.  Verdicts of guilty were subsequently returned by the jury on the two outstanding counts, </w:t>
      </w:r>
      <w:proofErr w:type="spellStart"/>
      <w:r>
        <w:rPr>
          <w:rFonts w:cs="Arial"/>
          <w:szCs w:val="24"/>
        </w:rPr>
        <w:t>Mr</w:t>
      </w:r>
      <w:proofErr w:type="spellEnd"/>
      <w:r>
        <w:rPr>
          <w:rFonts w:cs="Arial"/>
          <w:szCs w:val="24"/>
        </w:rPr>
        <w:t xml:space="preserve"> Hoang being found guilty on a total of 10 counts.</w:t>
      </w:r>
    </w:p>
    <w:p w14:paraId="45564CFE" w14:textId="77777777" w:rsidR="00913725" w:rsidRDefault="00913725" w:rsidP="00913725">
      <w:pPr>
        <w:jc w:val="both"/>
        <w:rPr>
          <w:rFonts w:cs="Arial"/>
          <w:szCs w:val="24"/>
        </w:rPr>
      </w:pPr>
    </w:p>
    <w:p w14:paraId="1AD489DD" w14:textId="77777777" w:rsidR="00913725" w:rsidRDefault="00913725" w:rsidP="00913725">
      <w:pPr>
        <w:jc w:val="both"/>
        <w:rPr>
          <w:rFonts w:cs="Arial"/>
          <w:szCs w:val="24"/>
        </w:rPr>
      </w:pPr>
      <w:r>
        <w:rPr>
          <w:rFonts w:cs="Arial"/>
          <w:szCs w:val="24"/>
        </w:rPr>
        <w:t xml:space="preserve">An appeal by </w:t>
      </w:r>
      <w:proofErr w:type="spellStart"/>
      <w:r>
        <w:rPr>
          <w:rFonts w:cs="Arial"/>
          <w:szCs w:val="24"/>
        </w:rPr>
        <w:t>Mr</w:t>
      </w:r>
      <w:proofErr w:type="spellEnd"/>
      <w:r>
        <w:rPr>
          <w:rFonts w:cs="Arial"/>
          <w:szCs w:val="24"/>
        </w:rPr>
        <w:t xml:space="preserve"> Hoang against his conviction was dismissed by the Court of Criminal Appeal (Hoeben CJ at CL and N Adams J; Campbell J dissenting).  The majority held that s 68C(1) of the Act was not contravened, as Juror A had conducted her inquiry for personal purposes rather than for use in the trial, with the result that there was no contravention of s 68C(1) and no misconduct of the type defined in s 53A(2)(a).  Their </w:t>
      </w:r>
      <w:proofErr w:type="spellStart"/>
      <w:r>
        <w:rPr>
          <w:rFonts w:cs="Arial"/>
          <w:szCs w:val="24"/>
        </w:rPr>
        <w:t>Honours</w:t>
      </w:r>
      <w:proofErr w:type="spellEnd"/>
      <w:r>
        <w:rPr>
          <w:rFonts w:cs="Arial"/>
          <w:szCs w:val="24"/>
        </w:rPr>
        <w:t xml:space="preserve"> then considered the alternative form of misconduct, defined in s 53A(2)(b), and found that no risk of a substantial miscarriage of justice had arisen.  Juror A therefore had been discharged in error.  The majority then held that the two verdicts given after Juror A’s discharge should stand, as the removal of Juror A did not constitute a fundamental defect in the trial process, and s 22 of the Act provided that a jury impacted by discharge should remain if its number was not lower than 10.</w:t>
      </w:r>
    </w:p>
    <w:p w14:paraId="66B991BD" w14:textId="77777777" w:rsidR="00913725" w:rsidRDefault="00913725" w:rsidP="00913725">
      <w:pPr>
        <w:jc w:val="both"/>
        <w:rPr>
          <w:rFonts w:cs="Arial"/>
          <w:szCs w:val="24"/>
        </w:rPr>
      </w:pPr>
    </w:p>
    <w:p w14:paraId="7818F12C" w14:textId="15D0AA8E" w:rsidR="00913725" w:rsidRDefault="00913725" w:rsidP="00913725">
      <w:pPr>
        <w:jc w:val="both"/>
        <w:rPr>
          <w:rFonts w:cs="Arial"/>
          <w:szCs w:val="24"/>
        </w:rPr>
      </w:pPr>
      <w:r>
        <w:rPr>
          <w:rFonts w:cs="Arial"/>
          <w:szCs w:val="24"/>
        </w:rPr>
        <w:t xml:space="preserve">Campbell J would have allowed the appeal, quashed those convictions which flowed from verdicts taken on 6 November 2015, and ordered a new trial.  His </w:t>
      </w:r>
      <w:proofErr w:type="spellStart"/>
      <w:r>
        <w:rPr>
          <w:rFonts w:cs="Arial"/>
          <w:szCs w:val="24"/>
        </w:rPr>
        <w:t>Honour</w:t>
      </w:r>
      <w:proofErr w:type="spellEnd"/>
      <w:r>
        <w:rPr>
          <w:rFonts w:cs="Arial"/>
          <w:szCs w:val="24"/>
        </w:rPr>
        <w:t xml:space="preserve"> held that, although the inquiry made by Juror A might have been undertaken for her own purposes, that did not exclude </w:t>
      </w:r>
      <w:r w:rsidRPr="00C329FC">
        <w:rPr>
          <w:rFonts w:cs="Arial"/>
          <w:i/>
          <w:szCs w:val="24"/>
        </w:rPr>
        <w:t>a</w:t>
      </w:r>
      <w:r w:rsidRPr="00E95961">
        <w:rPr>
          <w:rFonts w:cs="Arial"/>
          <w:szCs w:val="24"/>
        </w:rPr>
        <w:t xml:space="preserve"> purpose</w:t>
      </w:r>
      <w:r>
        <w:rPr>
          <w:rFonts w:cs="Arial"/>
          <w:szCs w:val="24"/>
        </w:rPr>
        <w:t xml:space="preserve"> being the obtaining of information about a matter relevant to the trial, within the meaning of s 68C(1) of the Act, and Juror A had correctly been discharged for misconduct.  The matter was relevant to the trial, since evidence as to “Working with Children” checks had been </w:t>
      </w:r>
      <w:r>
        <w:rPr>
          <w:rFonts w:cs="Arial"/>
          <w:szCs w:val="24"/>
        </w:rPr>
        <w:lastRenderedPageBreak/>
        <w:t xml:space="preserve">led by the prosecution, had been countered by other evidence led by the </w:t>
      </w:r>
      <w:proofErr w:type="spellStart"/>
      <w:r>
        <w:rPr>
          <w:rFonts w:cs="Arial"/>
          <w:szCs w:val="24"/>
        </w:rPr>
        <w:t>defence</w:t>
      </w:r>
      <w:proofErr w:type="spellEnd"/>
      <w:r>
        <w:rPr>
          <w:rFonts w:cs="Arial"/>
          <w:szCs w:val="24"/>
        </w:rPr>
        <w:t xml:space="preserve"> and had been referred to by </w:t>
      </w:r>
      <w:proofErr w:type="spellStart"/>
      <w:r>
        <w:rPr>
          <w:rFonts w:cs="Arial"/>
          <w:szCs w:val="24"/>
        </w:rPr>
        <w:t>defence</w:t>
      </w:r>
      <w:proofErr w:type="spellEnd"/>
      <w:r>
        <w:rPr>
          <w:rFonts w:cs="Arial"/>
          <w:szCs w:val="24"/>
        </w:rPr>
        <w:t xml:space="preserve"> counsel in his closing address to the jury.  Campbell J held that Judge </w:t>
      </w:r>
      <w:proofErr w:type="spellStart"/>
      <w:r>
        <w:rPr>
          <w:rFonts w:cs="Arial"/>
          <w:szCs w:val="24"/>
        </w:rPr>
        <w:t>Traill</w:t>
      </w:r>
      <w:proofErr w:type="spellEnd"/>
      <w:r>
        <w:rPr>
          <w:rFonts w:cs="Arial"/>
          <w:szCs w:val="24"/>
        </w:rPr>
        <w:t xml:space="preserve"> had erred by taking verdicts from the jury prior to dealing with the question of misconduct, and the eight convictions which flowed from verdicts given with Juror A’s involvement could not stand.</w:t>
      </w:r>
    </w:p>
    <w:p w14:paraId="6FE92C4D" w14:textId="77777777" w:rsidR="00913725" w:rsidRPr="0026636E" w:rsidRDefault="00913725" w:rsidP="00913725">
      <w:pPr>
        <w:jc w:val="both"/>
        <w:rPr>
          <w:rFonts w:cs="Arial"/>
          <w:szCs w:val="24"/>
        </w:rPr>
      </w:pPr>
    </w:p>
    <w:p w14:paraId="5F5587F9" w14:textId="77777777" w:rsidR="00913725" w:rsidRDefault="00913725" w:rsidP="00913725">
      <w:pPr>
        <w:jc w:val="both"/>
        <w:rPr>
          <w:rFonts w:cs="Arial"/>
          <w:szCs w:val="24"/>
        </w:rPr>
      </w:pPr>
      <w:r>
        <w:rPr>
          <w:rFonts w:cs="Arial"/>
          <w:szCs w:val="24"/>
        </w:rPr>
        <w:t>The grounds of appeal are:</w:t>
      </w:r>
    </w:p>
    <w:p w14:paraId="6F4E3AFD" w14:textId="77777777" w:rsidR="00913725" w:rsidRDefault="00913725" w:rsidP="00913725">
      <w:pPr>
        <w:jc w:val="both"/>
        <w:rPr>
          <w:rFonts w:cs="Arial"/>
          <w:szCs w:val="24"/>
        </w:rPr>
      </w:pPr>
    </w:p>
    <w:p w14:paraId="2739EC74" w14:textId="77777777" w:rsidR="00913725" w:rsidRPr="00202FC8" w:rsidRDefault="00913725" w:rsidP="00913725">
      <w:pPr>
        <w:pStyle w:val="ListParagraph"/>
        <w:numPr>
          <w:ilvl w:val="0"/>
          <w:numId w:val="21"/>
        </w:numPr>
        <w:spacing w:after="180"/>
        <w:ind w:left="425" w:hanging="425"/>
        <w:jc w:val="both"/>
        <w:rPr>
          <w:rFonts w:cs="Arial"/>
          <w:sz w:val="24"/>
          <w:szCs w:val="24"/>
        </w:rPr>
      </w:pPr>
      <w:r>
        <w:rPr>
          <w:rFonts w:cs="Arial"/>
          <w:sz w:val="24"/>
          <w:szCs w:val="24"/>
        </w:rPr>
        <w:t>The Court of Criminal Appeal erred in holding that:</w:t>
      </w:r>
    </w:p>
    <w:p w14:paraId="7430F162" w14:textId="77777777" w:rsidR="00913725" w:rsidRPr="00490355" w:rsidRDefault="00913725" w:rsidP="00913725">
      <w:pPr>
        <w:tabs>
          <w:tab w:val="left" w:pos="993"/>
        </w:tabs>
        <w:spacing w:after="180"/>
        <w:ind w:left="992" w:hanging="567"/>
        <w:jc w:val="both"/>
        <w:rPr>
          <w:rFonts w:cs="Arial"/>
          <w:szCs w:val="24"/>
        </w:rPr>
      </w:pPr>
      <w:r>
        <w:rPr>
          <w:rFonts w:cs="Arial"/>
          <w:szCs w:val="24"/>
        </w:rPr>
        <w:t>(a)</w:t>
      </w:r>
      <w:r>
        <w:rPr>
          <w:rFonts w:cs="Arial"/>
          <w:szCs w:val="24"/>
        </w:rPr>
        <w:tab/>
        <w:t>in order for “misconduct</w:t>
      </w:r>
      <w:r w:rsidRPr="00490355">
        <w:rPr>
          <w:rFonts w:cs="Arial"/>
          <w:szCs w:val="24"/>
        </w:rPr>
        <w:t>” to be established pursuant to s 53A(1)(c) and s 53</w:t>
      </w:r>
      <w:proofErr w:type="gramStart"/>
      <w:r w:rsidRPr="00490355">
        <w:rPr>
          <w:rFonts w:cs="Arial"/>
          <w:szCs w:val="24"/>
        </w:rPr>
        <w:t>A(</w:t>
      </w:r>
      <w:proofErr w:type="gramEnd"/>
      <w:r w:rsidRPr="00490355">
        <w:rPr>
          <w:rFonts w:cs="Arial"/>
          <w:szCs w:val="24"/>
        </w:rPr>
        <w:t>2) of the Act, the juror’s stated intention or purpose for “making an inquiry” (as defined in s 68C of the Act) is relevant; and/or</w:t>
      </w:r>
    </w:p>
    <w:p w14:paraId="14A9353D" w14:textId="77777777" w:rsidR="00913725" w:rsidRPr="00490355" w:rsidRDefault="00913725" w:rsidP="00913725">
      <w:pPr>
        <w:tabs>
          <w:tab w:val="left" w:pos="993"/>
        </w:tabs>
        <w:spacing w:after="180"/>
        <w:ind w:left="992" w:hanging="567"/>
        <w:jc w:val="both"/>
        <w:rPr>
          <w:rFonts w:cs="Arial"/>
          <w:szCs w:val="24"/>
        </w:rPr>
      </w:pPr>
      <w:r w:rsidRPr="00490355">
        <w:rPr>
          <w:rFonts w:cs="Arial"/>
          <w:szCs w:val="24"/>
        </w:rPr>
        <w:t>(b)</w:t>
      </w:r>
      <w:r w:rsidRPr="00490355">
        <w:rPr>
          <w:rFonts w:cs="Arial"/>
          <w:szCs w:val="24"/>
        </w:rPr>
        <w:tab/>
        <w:t>to satisfy s 53A(2)(a) the inquiry must have been made by the juror with the sole or specific intention or purpose of obtaining information relevant to the trial; and/or</w:t>
      </w:r>
    </w:p>
    <w:p w14:paraId="3A6C29B8" w14:textId="77777777" w:rsidR="00913725" w:rsidRDefault="00913725" w:rsidP="00913725">
      <w:pPr>
        <w:tabs>
          <w:tab w:val="left" w:pos="993"/>
        </w:tabs>
        <w:ind w:left="993" w:hanging="567"/>
        <w:jc w:val="both"/>
        <w:rPr>
          <w:rFonts w:cs="Arial"/>
          <w:szCs w:val="24"/>
        </w:rPr>
      </w:pPr>
      <w:r w:rsidRPr="00490355">
        <w:rPr>
          <w:rFonts w:cs="Arial"/>
          <w:szCs w:val="24"/>
        </w:rPr>
        <w:t>(c)</w:t>
      </w:r>
      <w:r w:rsidRPr="00490355">
        <w:rPr>
          <w:rFonts w:cs="Arial"/>
          <w:szCs w:val="24"/>
        </w:rPr>
        <w:tab/>
        <w:t>the trial judge was in error in determining that there was juror misconduct warranting mandatory discharge pursuant to s 53A(1)(c) of the Act.</w:t>
      </w:r>
    </w:p>
    <w:p w14:paraId="62895966" w14:textId="77777777" w:rsidR="00913725" w:rsidRDefault="00913725" w:rsidP="00913725">
      <w:pPr>
        <w:tabs>
          <w:tab w:val="left" w:pos="993"/>
        </w:tabs>
        <w:jc w:val="both"/>
        <w:rPr>
          <w:rFonts w:cs="Arial"/>
          <w:szCs w:val="24"/>
        </w:rPr>
      </w:pPr>
    </w:p>
    <w:p w14:paraId="4A378AED" w14:textId="77777777" w:rsidR="00913725" w:rsidRPr="00B82F46" w:rsidRDefault="00913725" w:rsidP="00913725">
      <w:pPr>
        <w:pStyle w:val="ListParagraph"/>
        <w:numPr>
          <w:ilvl w:val="0"/>
          <w:numId w:val="21"/>
        </w:numPr>
        <w:ind w:left="426" w:hanging="426"/>
        <w:contextualSpacing/>
        <w:jc w:val="both"/>
        <w:rPr>
          <w:rFonts w:cs="Arial"/>
          <w:sz w:val="24"/>
          <w:szCs w:val="24"/>
        </w:rPr>
      </w:pPr>
      <w:r>
        <w:rPr>
          <w:rFonts w:cs="Arial"/>
          <w:sz w:val="24"/>
          <w:szCs w:val="24"/>
        </w:rPr>
        <w:t>The Court of Criminal Appeal</w:t>
      </w:r>
      <w:r w:rsidRPr="00B82F46">
        <w:rPr>
          <w:rFonts w:cs="Arial"/>
          <w:sz w:val="24"/>
          <w:szCs w:val="24"/>
        </w:rPr>
        <w:t xml:space="preserve"> erred in holding that</w:t>
      </w:r>
      <w:r>
        <w:rPr>
          <w:rFonts w:cs="Arial"/>
          <w:sz w:val="24"/>
          <w:szCs w:val="24"/>
        </w:rPr>
        <w:t xml:space="preserve"> mandatory discharge was not required prior to the trial judge taking the verdicts in the trial in circumstances where the trial judge was satisfied that misconduct under s 53</w:t>
      </w:r>
      <w:proofErr w:type="gramStart"/>
      <w:r>
        <w:rPr>
          <w:rFonts w:cs="Arial"/>
          <w:sz w:val="24"/>
          <w:szCs w:val="24"/>
        </w:rPr>
        <w:t>A(</w:t>
      </w:r>
      <w:proofErr w:type="gramEnd"/>
      <w:r>
        <w:rPr>
          <w:rFonts w:cs="Arial"/>
          <w:sz w:val="24"/>
          <w:szCs w:val="24"/>
        </w:rPr>
        <w:t>2) had occurred.</w:t>
      </w:r>
    </w:p>
    <w:bookmarkEnd w:id="1"/>
    <w:p w14:paraId="03E0BCD3" w14:textId="77777777" w:rsidR="007E4251" w:rsidRPr="001D2812" w:rsidRDefault="007E4251" w:rsidP="00EE38B1">
      <w:pPr>
        <w:tabs>
          <w:tab w:val="left" w:pos="2977"/>
        </w:tabs>
        <w:jc w:val="both"/>
        <w:rPr>
          <w:rFonts w:cs="Arial"/>
          <w:szCs w:val="24"/>
        </w:rPr>
      </w:pPr>
    </w:p>
    <w:p w14:paraId="27854E16" w14:textId="77777777" w:rsidR="00EE38B1" w:rsidRPr="00A362D2" w:rsidRDefault="00EE38B1" w:rsidP="00A362D2">
      <w:pPr>
        <w:tabs>
          <w:tab w:val="left" w:pos="5362"/>
        </w:tabs>
        <w:rPr>
          <w:b/>
          <w:bCs/>
          <w:sz w:val="28"/>
          <w:szCs w:val="28"/>
          <w:u w:val="single"/>
        </w:rPr>
      </w:pPr>
    </w:p>
    <w:sectPr w:rsidR="00EE38B1" w:rsidRPr="00A362D2"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EB2F" w14:textId="77777777" w:rsidR="00647DBA" w:rsidRDefault="00647DBA">
      <w:r>
        <w:separator/>
      </w:r>
    </w:p>
  </w:endnote>
  <w:endnote w:type="continuationSeparator" w:id="0">
    <w:p w14:paraId="5B993CC8" w14:textId="77777777" w:rsidR="00647DBA" w:rsidRDefault="006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D6DF"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3C5E" w14:textId="77777777" w:rsidR="00647DBA" w:rsidRDefault="00647DBA">
      <w:r>
        <w:separator/>
      </w:r>
    </w:p>
  </w:footnote>
  <w:footnote w:type="continuationSeparator" w:id="0">
    <w:p w14:paraId="5935CAD7" w14:textId="77777777" w:rsidR="00647DBA" w:rsidRDefault="0064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A4E"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66E1" w14:textId="77777777" w:rsidR="004B7828" w:rsidRDefault="004B7828">
    <w:pPr>
      <w:pStyle w:val="Title"/>
    </w:pPr>
  </w:p>
  <w:p w14:paraId="1F7BC664" w14:textId="77777777" w:rsidR="004B7828" w:rsidRDefault="004B7828">
    <w:pPr>
      <w:pStyle w:val="Title"/>
    </w:pPr>
    <w:r>
      <w:t>SHORT PARTICULARS OF CASES</w:t>
    </w:r>
  </w:p>
  <w:p w14:paraId="689E3F4F" w14:textId="77777777" w:rsidR="004B7828" w:rsidRDefault="004B7828">
    <w:pPr>
      <w:tabs>
        <w:tab w:val="left" w:pos="851"/>
        <w:tab w:val="right" w:pos="8505"/>
      </w:tabs>
      <w:jc w:val="center"/>
      <w:rPr>
        <w:b/>
        <w:u w:val="single"/>
      </w:rPr>
    </w:pPr>
  </w:p>
  <w:p w14:paraId="19EFAC6B" w14:textId="0EEDDFF1" w:rsidR="004B7828" w:rsidRDefault="00754987">
    <w:pPr>
      <w:tabs>
        <w:tab w:val="left" w:pos="851"/>
        <w:tab w:val="right" w:pos="8505"/>
      </w:tabs>
      <w:jc w:val="center"/>
      <w:rPr>
        <w:b/>
        <w:u w:val="single"/>
      </w:rPr>
    </w:pPr>
    <w:r>
      <w:rPr>
        <w:b/>
        <w:u w:val="single"/>
      </w:rPr>
      <w:t>MARCH</w:t>
    </w:r>
    <w:r w:rsidR="00B716D5">
      <w:rPr>
        <w:b/>
        <w:u w:val="single"/>
      </w:rPr>
      <w:t xml:space="preserve"> 2022</w:t>
    </w:r>
  </w:p>
  <w:p w14:paraId="1AB63BDF" w14:textId="77777777" w:rsidR="004B7828" w:rsidRDefault="004B7828">
    <w:pPr>
      <w:tabs>
        <w:tab w:val="left" w:pos="851"/>
        <w:tab w:val="right" w:pos="8505"/>
      </w:tabs>
    </w:pPr>
  </w:p>
  <w:p w14:paraId="5C2399ED" w14:textId="77777777" w:rsidR="004B7828" w:rsidRDefault="004B7828">
    <w:pPr>
      <w:tabs>
        <w:tab w:val="left" w:pos="851"/>
        <w:tab w:val="right" w:pos="8505"/>
      </w:tabs>
      <w:jc w:val="both"/>
    </w:pPr>
    <w:r>
      <w:t>_______________________________________________________________</w:t>
    </w:r>
    <w:r w:rsidR="00E442CA">
      <w:t>_</w:t>
    </w:r>
  </w:p>
  <w:p w14:paraId="5CD4F09D" w14:textId="77777777" w:rsidR="004B7828" w:rsidRDefault="004B7828">
    <w:pPr>
      <w:tabs>
        <w:tab w:val="left" w:pos="851"/>
        <w:tab w:val="right" w:pos="8505"/>
      </w:tabs>
      <w:jc w:val="both"/>
    </w:pPr>
  </w:p>
  <w:p w14:paraId="701F96DE" w14:textId="77777777" w:rsidR="004B7828" w:rsidRDefault="004B7828">
    <w:pPr>
      <w:tabs>
        <w:tab w:val="left" w:pos="851"/>
        <w:tab w:val="right" w:pos="8505"/>
      </w:tabs>
      <w:jc w:val="both"/>
    </w:pPr>
    <w:r>
      <w:t>No.</w:t>
    </w:r>
    <w:r>
      <w:tab/>
      <w:t>Name of Matter</w:t>
    </w:r>
    <w:r>
      <w:tab/>
      <w:t>Page No</w:t>
    </w:r>
  </w:p>
  <w:p w14:paraId="06EBA8B4" w14:textId="77777777" w:rsidR="004B7828" w:rsidRDefault="004B7828" w:rsidP="00E442CA">
    <w:pPr>
      <w:tabs>
        <w:tab w:val="left" w:pos="851"/>
        <w:tab w:val="right" w:pos="8505"/>
      </w:tabs>
      <w:jc w:val="both"/>
    </w:pPr>
    <w:r>
      <w:t>_______________________________________________________________</w:t>
    </w:r>
    <w:r w:rsidR="00E442CA">
      <w:t>_</w:t>
    </w:r>
  </w:p>
  <w:p w14:paraId="19B3C428"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D82B75"/>
    <w:multiLevelType w:val="hybridMultilevel"/>
    <w:tmpl w:val="7FEE52F6"/>
    <w:lvl w:ilvl="0" w:tplc="C57E1EFE">
      <w:start w:val="1"/>
      <w:numFmt w:val="lowerLetter"/>
      <w:suff w:val="space"/>
      <w:lvlText w:val="(%1)"/>
      <w:lvlJc w:val="left"/>
      <w:pPr>
        <w:ind w:left="680" w:hanging="3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24C7555"/>
    <w:multiLevelType w:val="hybridMultilevel"/>
    <w:tmpl w:val="7FEE52F6"/>
    <w:lvl w:ilvl="0" w:tplc="C57E1EFE">
      <w:start w:val="1"/>
      <w:numFmt w:val="lowerLetter"/>
      <w:suff w:val="space"/>
      <w:lvlText w:val="(%1)"/>
      <w:lvlJc w:val="left"/>
      <w:pPr>
        <w:ind w:left="680" w:hanging="3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1A4F0B"/>
    <w:multiLevelType w:val="hybridMultilevel"/>
    <w:tmpl w:val="20745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2E570C"/>
    <w:multiLevelType w:val="hybridMultilevel"/>
    <w:tmpl w:val="305811C6"/>
    <w:lvl w:ilvl="0" w:tplc="5CC2F05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357A4612"/>
    <w:multiLevelType w:val="hybridMultilevel"/>
    <w:tmpl w:val="A4E2D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E127C4"/>
    <w:multiLevelType w:val="hybridMultilevel"/>
    <w:tmpl w:val="8FE61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DD770D"/>
    <w:multiLevelType w:val="hybridMultilevel"/>
    <w:tmpl w:val="0366C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B66689"/>
    <w:multiLevelType w:val="hybridMultilevel"/>
    <w:tmpl w:val="CB46B0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D8802ED"/>
    <w:multiLevelType w:val="hybridMultilevel"/>
    <w:tmpl w:val="034250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006598E"/>
    <w:multiLevelType w:val="hybridMultilevel"/>
    <w:tmpl w:val="20745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22C5F94"/>
    <w:multiLevelType w:val="hybridMultilevel"/>
    <w:tmpl w:val="7FEE52F6"/>
    <w:lvl w:ilvl="0" w:tplc="C57E1EFE">
      <w:start w:val="1"/>
      <w:numFmt w:val="lowerLetter"/>
      <w:suff w:val="space"/>
      <w:lvlText w:val="(%1)"/>
      <w:lvlJc w:val="left"/>
      <w:pPr>
        <w:ind w:left="1038" w:hanging="340"/>
      </w:pPr>
      <w:rPr>
        <w:rFonts w:hint="default"/>
      </w:rPr>
    </w:lvl>
    <w:lvl w:ilvl="1" w:tplc="0C090019" w:tentative="1">
      <w:start w:val="1"/>
      <w:numFmt w:val="lowerLetter"/>
      <w:lvlText w:val="%2."/>
      <w:lvlJc w:val="left"/>
      <w:pPr>
        <w:ind w:left="2518" w:hanging="360"/>
      </w:pPr>
    </w:lvl>
    <w:lvl w:ilvl="2" w:tplc="0C09001B" w:tentative="1">
      <w:start w:val="1"/>
      <w:numFmt w:val="lowerRoman"/>
      <w:lvlText w:val="%3."/>
      <w:lvlJc w:val="right"/>
      <w:pPr>
        <w:ind w:left="3238" w:hanging="180"/>
      </w:pPr>
    </w:lvl>
    <w:lvl w:ilvl="3" w:tplc="0C09000F" w:tentative="1">
      <w:start w:val="1"/>
      <w:numFmt w:val="decimal"/>
      <w:lvlText w:val="%4."/>
      <w:lvlJc w:val="left"/>
      <w:pPr>
        <w:ind w:left="3958" w:hanging="360"/>
      </w:pPr>
    </w:lvl>
    <w:lvl w:ilvl="4" w:tplc="0C090019" w:tentative="1">
      <w:start w:val="1"/>
      <w:numFmt w:val="lowerLetter"/>
      <w:lvlText w:val="%5."/>
      <w:lvlJc w:val="left"/>
      <w:pPr>
        <w:ind w:left="4678" w:hanging="360"/>
      </w:pPr>
    </w:lvl>
    <w:lvl w:ilvl="5" w:tplc="0C09001B" w:tentative="1">
      <w:start w:val="1"/>
      <w:numFmt w:val="lowerRoman"/>
      <w:lvlText w:val="%6."/>
      <w:lvlJc w:val="right"/>
      <w:pPr>
        <w:ind w:left="5398" w:hanging="180"/>
      </w:pPr>
    </w:lvl>
    <w:lvl w:ilvl="6" w:tplc="0C09000F" w:tentative="1">
      <w:start w:val="1"/>
      <w:numFmt w:val="decimal"/>
      <w:lvlText w:val="%7."/>
      <w:lvlJc w:val="left"/>
      <w:pPr>
        <w:ind w:left="6118" w:hanging="360"/>
      </w:pPr>
    </w:lvl>
    <w:lvl w:ilvl="7" w:tplc="0C090019" w:tentative="1">
      <w:start w:val="1"/>
      <w:numFmt w:val="lowerLetter"/>
      <w:lvlText w:val="%8."/>
      <w:lvlJc w:val="left"/>
      <w:pPr>
        <w:ind w:left="6838" w:hanging="360"/>
      </w:pPr>
    </w:lvl>
    <w:lvl w:ilvl="8" w:tplc="0C09001B" w:tentative="1">
      <w:start w:val="1"/>
      <w:numFmt w:val="lowerRoman"/>
      <w:lvlText w:val="%9."/>
      <w:lvlJc w:val="right"/>
      <w:pPr>
        <w:ind w:left="7558" w:hanging="180"/>
      </w:pPr>
    </w:lvl>
  </w:abstractNum>
  <w:abstractNum w:abstractNumId="18"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9"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20" w15:restartNumberingAfterBreak="0">
    <w:nsid w:val="7DA4556B"/>
    <w:multiLevelType w:val="hybridMultilevel"/>
    <w:tmpl w:val="7FEE52F6"/>
    <w:lvl w:ilvl="0" w:tplc="C57E1EFE">
      <w:start w:val="1"/>
      <w:numFmt w:val="lowerLetter"/>
      <w:suff w:val="space"/>
      <w:lvlText w:val="(%1)"/>
      <w:lvlJc w:val="left"/>
      <w:pPr>
        <w:ind w:left="680" w:hanging="3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9"/>
  </w:num>
  <w:num w:numId="2">
    <w:abstractNumId w:val="12"/>
  </w:num>
  <w:num w:numId="3">
    <w:abstractNumId w:val="5"/>
  </w:num>
  <w:num w:numId="4">
    <w:abstractNumId w:val="13"/>
  </w:num>
  <w:num w:numId="5">
    <w:abstractNumId w:val="18"/>
  </w:num>
  <w:num w:numId="6">
    <w:abstractNumId w:val="15"/>
  </w:num>
  <w:num w:numId="7">
    <w:abstractNumId w:val="1"/>
  </w:num>
  <w:num w:numId="8">
    <w:abstractNumId w:val="0"/>
  </w:num>
  <w:num w:numId="9">
    <w:abstractNumId w:val="2"/>
  </w:num>
  <w:num w:numId="10">
    <w:abstractNumId w:val="14"/>
  </w:num>
  <w:num w:numId="11">
    <w:abstractNumId w:val="17"/>
  </w:num>
  <w:num w:numId="12">
    <w:abstractNumId w:val="20"/>
  </w:num>
  <w:num w:numId="13">
    <w:abstractNumId w:val="4"/>
  </w:num>
  <w:num w:numId="14">
    <w:abstractNumId w:val="3"/>
  </w:num>
  <w:num w:numId="15">
    <w:abstractNumId w:val="6"/>
  </w:num>
  <w:num w:numId="16">
    <w:abstractNumId w:val="11"/>
  </w:num>
  <w:num w:numId="17">
    <w:abstractNumId w:val="16"/>
  </w:num>
  <w:num w:numId="18">
    <w:abstractNumId w:val="8"/>
  </w:num>
  <w:num w:numId="19">
    <w:abstractNumId w:val="1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36D4C"/>
    <w:rsid w:val="0004182E"/>
    <w:rsid w:val="00045B19"/>
    <w:rsid w:val="000B7BD8"/>
    <w:rsid w:val="000C490C"/>
    <w:rsid w:val="000C5282"/>
    <w:rsid w:val="001739A8"/>
    <w:rsid w:val="0017627F"/>
    <w:rsid w:val="001A29AE"/>
    <w:rsid w:val="001A5449"/>
    <w:rsid w:val="001C35A0"/>
    <w:rsid w:val="00214DD7"/>
    <w:rsid w:val="00246B55"/>
    <w:rsid w:val="00285615"/>
    <w:rsid w:val="002E45D0"/>
    <w:rsid w:val="003725D7"/>
    <w:rsid w:val="003C2828"/>
    <w:rsid w:val="004062FA"/>
    <w:rsid w:val="00441113"/>
    <w:rsid w:val="00461D71"/>
    <w:rsid w:val="004B1F9E"/>
    <w:rsid w:val="004B7828"/>
    <w:rsid w:val="00504F09"/>
    <w:rsid w:val="00512428"/>
    <w:rsid w:val="005124E8"/>
    <w:rsid w:val="00540FD1"/>
    <w:rsid w:val="00570096"/>
    <w:rsid w:val="00574B9F"/>
    <w:rsid w:val="005B162D"/>
    <w:rsid w:val="00601618"/>
    <w:rsid w:val="006235D8"/>
    <w:rsid w:val="00647DBA"/>
    <w:rsid w:val="00677CB9"/>
    <w:rsid w:val="007009C2"/>
    <w:rsid w:val="00737693"/>
    <w:rsid w:val="00754987"/>
    <w:rsid w:val="007E4251"/>
    <w:rsid w:val="00811E2E"/>
    <w:rsid w:val="00821A0B"/>
    <w:rsid w:val="00857B7C"/>
    <w:rsid w:val="008640C8"/>
    <w:rsid w:val="00876107"/>
    <w:rsid w:val="00913725"/>
    <w:rsid w:val="00913869"/>
    <w:rsid w:val="00920527"/>
    <w:rsid w:val="00947721"/>
    <w:rsid w:val="00960A70"/>
    <w:rsid w:val="009D671C"/>
    <w:rsid w:val="00A362D2"/>
    <w:rsid w:val="00A414D3"/>
    <w:rsid w:val="00A65554"/>
    <w:rsid w:val="00A97BBB"/>
    <w:rsid w:val="00AA49B6"/>
    <w:rsid w:val="00AE04E6"/>
    <w:rsid w:val="00B716D5"/>
    <w:rsid w:val="00BA02B7"/>
    <w:rsid w:val="00C65A07"/>
    <w:rsid w:val="00C91C3B"/>
    <w:rsid w:val="00CE7490"/>
    <w:rsid w:val="00CE7ECA"/>
    <w:rsid w:val="00DB2113"/>
    <w:rsid w:val="00DD3341"/>
    <w:rsid w:val="00DF401E"/>
    <w:rsid w:val="00DF7B1F"/>
    <w:rsid w:val="00E0010B"/>
    <w:rsid w:val="00E442CA"/>
    <w:rsid w:val="00EB66FC"/>
    <w:rsid w:val="00EE38B1"/>
    <w:rsid w:val="00F03117"/>
    <w:rsid w:val="00F87DC1"/>
    <w:rsid w:val="00FA1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33170"/>
  <w15:chartTrackingRefBased/>
  <w15:docId w15:val="{FEF38988-51FF-49EE-851F-49375CD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90C"/>
    <w:pPr>
      <w:ind w:left="720"/>
    </w:pPr>
    <w:rPr>
      <w:sz w:val="22"/>
      <w:lang w:val="en-AU" w:eastAsia="en-US"/>
    </w:rPr>
  </w:style>
  <w:style w:type="paragraph" w:styleId="NoSpacing">
    <w:name w:val="No Spacing"/>
    <w:uiPriority w:val="1"/>
    <w:qFormat/>
    <w:rsid w:val="000C49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FA90-815A-4672-8A21-BDE84258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3310</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59</cp:revision>
  <cp:lastPrinted>1999-08-03T02:31:00Z</cp:lastPrinted>
  <dcterms:created xsi:type="dcterms:W3CDTF">2021-12-22T00:45:00Z</dcterms:created>
  <dcterms:modified xsi:type="dcterms:W3CDTF">2022-03-07T03:03:00Z</dcterms:modified>
</cp:coreProperties>
</file>